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8C2E13" w14:paraId="37320742" w14:textId="77777777" w:rsidTr="008C2E13">
        <w:trPr>
          <w:trHeight w:val="1560"/>
        </w:trPr>
        <w:tc>
          <w:tcPr>
            <w:tcW w:w="4786" w:type="dxa"/>
            <w:hideMark/>
          </w:tcPr>
          <w:p w14:paraId="633ABADD" w14:textId="77777777" w:rsidR="007E1D85" w:rsidRPr="008C2E13" w:rsidRDefault="007E1D85" w:rsidP="008C2E13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14:paraId="5F1F9450" w14:textId="77777777" w:rsidR="00523D82" w:rsidRPr="008C2E13" w:rsidRDefault="00523D82" w:rsidP="008C2E13">
            <w:pPr>
              <w:widowControl w:val="0"/>
              <w:spacing w:after="0" w:line="240" w:lineRule="auto"/>
              <w:ind w:left="1024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8C2E13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5989ADB5" w14:textId="77777777" w:rsidR="00653617" w:rsidRPr="008C2E13" w:rsidRDefault="00523D82" w:rsidP="008C2E13">
            <w:pPr>
              <w:autoSpaceDE w:val="0"/>
              <w:autoSpaceDN w:val="0"/>
              <w:spacing w:after="0" w:line="240" w:lineRule="auto"/>
              <w:ind w:left="10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  <w:r w:rsidR="004C462F" w:rsidRPr="008C2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8C2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редседателя </w:t>
            </w:r>
          </w:p>
          <w:p w14:paraId="11D9E122" w14:textId="77777777" w:rsidR="00523D82" w:rsidRPr="008C2E13" w:rsidRDefault="00264A6E" w:rsidP="008C2E13">
            <w:pPr>
              <w:autoSpaceDE w:val="0"/>
              <w:autoSpaceDN w:val="0"/>
              <w:spacing w:after="0" w:line="240" w:lineRule="auto"/>
              <w:ind w:left="10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РГУ «</w:t>
            </w:r>
            <w:r w:rsidR="00523D82" w:rsidRPr="008C2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8C2E13" w:rsidRPr="008C2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медицинского</w:t>
            </w:r>
            <w:r w:rsidR="00B608C1" w:rsidRPr="008C2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8C2E13" w:rsidRPr="008C2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фармацевтического контроля</w:t>
            </w:r>
          </w:p>
          <w:p w14:paraId="6E9E89CD" w14:textId="77777777" w:rsidR="00523D82" w:rsidRPr="008C2E13" w:rsidRDefault="00523D82" w:rsidP="008C2E13">
            <w:pPr>
              <w:keepNext/>
              <w:autoSpaceDE w:val="0"/>
              <w:autoSpaceDN w:val="0"/>
              <w:spacing w:after="0" w:line="240" w:lineRule="auto"/>
              <w:ind w:left="1024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8C2E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Министерства здравоохранения</w:t>
            </w:r>
            <w:r w:rsidRPr="008C2E1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53195D01" w14:textId="77777777" w:rsidR="00523D82" w:rsidRPr="008C2E13" w:rsidRDefault="00523D82" w:rsidP="008C2E13">
            <w:pPr>
              <w:keepNext/>
              <w:autoSpaceDE w:val="0"/>
              <w:autoSpaceDN w:val="0"/>
              <w:spacing w:after="0" w:line="240" w:lineRule="auto"/>
              <w:ind w:left="1024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C2E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Казахстан</w:t>
            </w:r>
            <w:r w:rsidR="00264A6E" w:rsidRPr="008C2E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0F11DFFC" w14:textId="6DB3E20F" w:rsidR="00523D82" w:rsidRPr="008C2E13" w:rsidRDefault="00523D82" w:rsidP="008C2E13">
            <w:pPr>
              <w:autoSpaceDE w:val="0"/>
              <w:autoSpaceDN w:val="0"/>
              <w:spacing w:after="0" w:line="240" w:lineRule="auto"/>
              <w:ind w:left="10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</w:t>
            </w:r>
            <w:r w:rsidR="0083268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</w:t>
            </w:r>
            <w:r w:rsidRPr="008C2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83268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05    </w:t>
            </w:r>
            <w:r w:rsidRPr="008C2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3268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22 </w:t>
            </w:r>
            <w:r w:rsidRPr="008C2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14:paraId="3BCA7A3F" w14:textId="1E95C8B8" w:rsidR="00523D82" w:rsidRPr="0083268C" w:rsidRDefault="00523D82" w:rsidP="008C2E13">
            <w:pPr>
              <w:widowControl w:val="0"/>
              <w:spacing w:after="0" w:line="240" w:lineRule="auto"/>
              <w:ind w:left="1024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r w:rsidRPr="008C2E1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№</w:t>
            </w:r>
            <w:r w:rsidR="0083268C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N052060</w:t>
            </w:r>
          </w:p>
        </w:tc>
        <w:tc>
          <w:tcPr>
            <w:tcW w:w="4536" w:type="dxa"/>
          </w:tcPr>
          <w:p w14:paraId="61C0A976" w14:textId="77777777" w:rsidR="00523D82" w:rsidRPr="008C2E13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8C2E13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54D3E54" w14:textId="77777777" w:rsidR="00280121" w:rsidRPr="008C2E13" w:rsidRDefault="00280121" w:rsidP="0055401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F5CDDB4" w14:textId="77777777" w:rsidR="00D76048" w:rsidRPr="008C2E13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38B21D48" w14:textId="77777777" w:rsidR="00372082" w:rsidRPr="008C2E13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41A134C" w14:textId="77777777" w:rsidR="00280121" w:rsidRPr="008C2E13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8C2E13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НАИМЕНОВАНИЕ</w:t>
      </w:r>
      <w:r w:rsidR="00280121"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8C2E13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ЛЕКАРСТВЕННОГО</w:t>
      </w:r>
      <w:r w:rsidR="00280121"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8C2E13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ПРЕПАРАТА</w:t>
      </w:r>
    </w:p>
    <w:p w14:paraId="176310AC" w14:textId="77777777" w:rsidR="001872CE" w:rsidRPr="008C2E13" w:rsidRDefault="00077DB7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Ливониб, </w:t>
      </w:r>
      <w:r w:rsidR="00C256AC" w:rsidRPr="00C256AC">
        <w:rPr>
          <w:rFonts w:ascii="Times New Roman" w:eastAsia="Times New Roman" w:hAnsi="Times New Roman"/>
          <w:sz w:val="24"/>
          <w:szCs w:val="24"/>
          <w:lang w:eastAsia="ru-RU"/>
        </w:rPr>
        <w:t xml:space="preserve">200 мг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таблетки, покрытые пленочной оболочкой</w:t>
      </w:r>
    </w:p>
    <w:p w14:paraId="4E834397" w14:textId="77777777" w:rsidR="00B01011" w:rsidRPr="008C2E13" w:rsidRDefault="00B0101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</w:p>
    <w:p w14:paraId="1CC4DF09" w14:textId="77777777" w:rsidR="003C07E3" w:rsidRPr="008C2E13" w:rsidRDefault="003C07E3" w:rsidP="0078568D">
      <w:pPr>
        <w:spacing w:after="0" w:line="240" w:lineRule="auto"/>
        <w:jc w:val="both"/>
        <w:rPr>
          <w:sz w:val="24"/>
          <w:szCs w:val="24"/>
        </w:rPr>
      </w:pPr>
      <w:bookmarkStart w:id="0" w:name="2175220285"/>
      <w:bookmarkStart w:id="1" w:name="OCRUncertain022"/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0"/>
    <w:p w14:paraId="47AD1451" w14:textId="77777777" w:rsidR="001872CE" w:rsidRPr="00253FB5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4"/>
          <w:highlight w:val="cyan"/>
          <w:lang w:eastAsia="ru-RU"/>
        </w:rPr>
      </w:pPr>
      <w:r w:rsidRPr="00253FB5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2.1 Общее описание</w:t>
      </w:r>
      <w:r w:rsidRPr="00253FB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55F13C2B" w14:textId="4453C07F" w:rsidR="00077DB7" w:rsidRDefault="00077DB7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77DB7">
        <w:rPr>
          <w:rFonts w:ascii="Times New Roman" w:eastAsia="Times New Roman" w:hAnsi="Times New Roman"/>
          <w:bCs/>
          <w:sz w:val="24"/>
          <w:szCs w:val="24"/>
          <w:lang w:eastAsia="ru-RU"/>
        </w:rPr>
        <w:t>Сорафениба тозилат</w:t>
      </w:r>
    </w:p>
    <w:p w14:paraId="229E282C" w14:textId="77777777" w:rsidR="00D60C5A" w:rsidRPr="00253FB5" w:rsidRDefault="00D60C5A" w:rsidP="00253F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</w:pPr>
      <w:r w:rsidRPr="00253FB5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2.2 Качественный и количественный состав</w:t>
      </w:r>
    </w:p>
    <w:p w14:paraId="2877DEB3" w14:textId="77777777" w:rsidR="00A074C5" w:rsidRPr="008C2E13" w:rsidRDefault="00A074C5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C2E13">
        <w:rPr>
          <w:rFonts w:ascii="Times New Roman" w:eastAsia="Times New Roman" w:hAnsi="Times New Roman"/>
          <w:bCs/>
          <w:sz w:val="24"/>
          <w:szCs w:val="24"/>
          <w:lang w:eastAsia="ru-RU"/>
        </w:rPr>
        <w:t>Одна таблетка</w:t>
      </w:r>
      <w:r w:rsidR="00077DB7">
        <w:rPr>
          <w:rFonts w:ascii="Times New Roman" w:eastAsia="Times New Roman" w:hAnsi="Times New Roman"/>
          <w:bCs/>
          <w:sz w:val="24"/>
          <w:szCs w:val="24"/>
          <w:lang w:eastAsia="ru-RU"/>
        </w:rPr>
        <w:t>, покрытая пленочной оболочкой,</w:t>
      </w:r>
      <w:r w:rsidRPr="008C2E1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содержит</w:t>
      </w:r>
      <w:r w:rsidR="00077DB7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Pr="008C2E1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19A75425" w14:textId="77777777" w:rsidR="00A074C5" w:rsidRPr="005C39C9" w:rsidRDefault="005C39C9" w:rsidP="005C3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а</w:t>
      </w:r>
      <w:r w:rsidR="00A074C5" w:rsidRPr="008C2E1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ктивн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ое </w:t>
      </w:r>
      <w:r w:rsidR="00A074C5" w:rsidRPr="008C2E1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веществ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о - </w:t>
      </w:r>
      <w:r w:rsidR="00A074C5" w:rsidRPr="008C2E1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</w:t>
      </w:r>
      <w:r w:rsidRPr="005C39C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орафениба тозилат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5C39C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эквивалентно сорафенибу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5C39C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200.00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мг</w:t>
      </w:r>
      <w:r w:rsidR="00763CE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14:paraId="4353BE1F" w14:textId="77777777" w:rsidR="00D60C5A" w:rsidRPr="008C2E13" w:rsidRDefault="00D60C5A" w:rsidP="005C39C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C2E13">
        <w:rPr>
          <w:rFonts w:ascii="Times New Roman" w:hAnsi="Times New Roman"/>
          <w:iCs/>
          <w:sz w:val="24"/>
          <w:szCs w:val="24"/>
          <w:lang w:eastAsia="ru-RU"/>
        </w:rPr>
        <w:t>Вспомогательные вещества, наличие которых надо учитывать в составе лекарственного препарата</w:t>
      </w:r>
      <w:r w:rsidR="005C39C9">
        <w:rPr>
          <w:rFonts w:ascii="Times New Roman" w:hAnsi="Times New Roman"/>
          <w:iCs/>
          <w:sz w:val="24"/>
          <w:szCs w:val="24"/>
          <w:lang w:eastAsia="ru-RU"/>
        </w:rPr>
        <w:t>: н</w:t>
      </w:r>
      <w:r w:rsidR="005C39C9" w:rsidRPr="005C39C9">
        <w:rPr>
          <w:rFonts w:ascii="Times New Roman" w:hAnsi="Times New Roman"/>
          <w:iCs/>
          <w:sz w:val="24"/>
          <w:szCs w:val="24"/>
          <w:lang w:eastAsia="ru-RU"/>
        </w:rPr>
        <w:t>атрия кроскармеллоза</w:t>
      </w:r>
      <w:r w:rsidR="005C39C9">
        <w:rPr>
          <w:rFonts w:ascii="Times New Roman" w:hAnsi="Times New Roman"/>
          <w:iCs/>
          <w:sz w:val="24"/>
          <w:szCs w:val="24"/>
          <w:lang w:eastAsia="ru-RU"/>
        </w:rPr>
        <w:t>, н</w:t>
      </w:r>
      <w:r w:rsidR="005C39C9" w:rsidRPr="005C39C9">
        <w:rPr>
          <w:rFonts w:ascii="Times New Roman" w:hAnsi="Times New Roman"/>
          <w:iCs/>
          <w:sz w:val="24"/>
          <w:szCs w:val="24"/>
          <w:lang w:eastAsia="ru-RU"/>
        </w:rPr>
        <w:t>атрия лаурилсульфат</w:t>
      </w:r>
      <w:r w:rsidR="005C39C9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7EB18B51" w14:textId="69086403" w:rsidR="003C07E3" w:rsidRDefault="00E75FFF" w:rsidP="005C39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C2E13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8C2E13">
        <w:rPr>
          <w:rFonts w:ascii="Times New Roman" w:hAnsi="Times New Roman"/>
          <w:sz w:val="24"/>
          <w:szCs w:val="24"/>
          <w:lang w:eastAsia="ru-RU"/>
        </w:rPr>
        <w:t>.</w:t>
      </w:r>
    </w:p>
    <w:p w14:paraId="01F1ADF8" w14:textId="77777777" w:rsidR="00253FB5" w:rsidRPr="008C2E13" w:rsidRDefault="00253FB5" w:rsidP="005C39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7C3A9D61" w14:textId="77777777" w:rsidR="00B7231F" w:rsidRPr="008C2E13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2175220286"/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2"/>
    <w:p w14:paraId="6FB49549" w14:textId="77777777" w:rsidR="008A0AE6" w:rsidRDefault="008A0AE6" w:rsidP="0078568D">
      <w:pPr>
        <w:pStyle w:val="Default"/>
        <w:jc w:val="both"/>
        <w:rPr>
          <w:spacing w:val="-4"/>
        </w:rPr>
      </w:pPr>
      <w:r>
        <w:rPr>
          <w:spacing w:val="-4"/>
        </w:rPr>
        <w:t>Т</w:t>
      </w:r>
      <w:r w:rsidRPr="008A0AE6">
        <w:rPr>
          <w:spacing w:val="-4"/>
        </w:rPr>
        <w:t>аблетки, покрытые пленочной оболочкой</w:t>
      </w:r>
      <w:r>
        <w:rPr>
          <w:spacing w:val="-4"/>
        </w:rPr>
        <w:t>.</w:t>
      </w:r>
      <w:r w:rsidRPr="008A0AE6">
        <w:rPr>
          <w:spacing w:val="-4"/>
        </w:rPr>
        <w:t xml:space="preserve"> </w:t>
      </w:r>
    </w:p>
    <w:p w14:paraId="7DD005E1" w14:textId="77777777" w:rsidR="00B7231F" w:rsidRDefault="008A0AE6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 w:rsidRPr="008A0AE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Таблетки круглой формы, покрытые пленочной оболочкой красного цвета, с гравировкой “BA3” на одной стороне и гладкие с другой стороны.</w:t>
      </w:r>
    </w:p>
    <w:p w14:paraId="307E8C63" w14:textId="77777777" w:rsidR="008A0AE6" w:rsidRPr="00C256AC" w:rsidRDefault="008A0AE6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01DC915A" w14:textId="77777777" w:rsidR="002C1660" w:rsidRPr="008C2E13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1"/>
      <w:r w:rsidR="00384EFD"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05C0E5F1" w14:textId="77777777" w:rsidR="005444B2" w:rsidRPr="008C2E13" w:rsidRDefault="00B7231F" w:rsidP="0078568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C2E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8C2E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8C2E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8C2E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8C2E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54420387" w14:textId="77777777" w:rsidR="005444B2" w:rsidRDefault="00AB0BF2" w:rsidP="0078568D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74215982"/>
      <w:r>
        <w:rPr>
          <w:rFonts w:ascii="Times New Roman" w:hAnsi="Times New Roman"/>
          <w:sz w:val="24"/>
          <w:szCs w:val="24"/>
        </w:rPr>
        <w:t>П</w:t>
      </w:r>
      <w:r w:rsidR="00B138D5">
        <w:rPr>
          <w:rFonts w:ascii="Times New Roman" w:hAnsi="Times New Roman"/>
          <w:sz w:val="24"/>
          <w:szCs w:val="24"/>
        </w:rPr>
        <w:t xml:space="preserve">репарат Ливониб показан к лечению </w:t>
      </w:r>
      <w:bookmarkEnd w:id="3"/>
      <w:r w:rsidR="00B138D5" w:rsidRPr="00B138D5">
        <w:rPr>
          <w:rFonts w:ascii="Times New Roman" w:hAnsi="Times New Roman"/>
          <w:sz w:val="24"/>
          <w:szCs w:val="24"/>
        </w:rPr>
        <w:t>гепатоцеллюлярн</w:t>
      </w:r>
      <w:r w:rsidR="00B138D5">
        <w:rPr>
          <w:rFonts w:ascii="Times New Roman" w:hAnsi="Times New Roman"/>
          <w:sz w:val="24"/>
          <w:szCs w:val="24"/>
        </w:rPr>
        <w:t xml:space="preserve">ой </w:t>
      </w:r>
      <w:r w:rsidR="00B138D5" w:rsidRPr="00B138D5">
        <w:rPr>
          <w:rFonts w:ascii="Times New Roman" w:hAnsi="Times New Roman"/>
          <w:sz w:val="24"/>
          <w:szCs w:val="24"/>
        </w:rPr>
        <w:t>карцином</w:t>
      </w:r>
      <w:r w:rsidR="00B138D5">
        <w:rPr>
          <w:rFonts w:ascii="Times New Roman" w:hAnsi="Times New Roman"/>
          <w:sz w:val="24"/>
          <w:szCs w:val="24"/>
        </w:rPr>
        <w:t>ы (см. раздел 5.1)</w:t>
      </w:r>
    </w:p>
    <w:p w14:paraId="038E2CA0" w14:textId="77777777" w:rsidR="00B138D5" w:rsidRDefault="00AB0BF2" w:rsidP="00B138D5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138D5">
        <w:rPr>
          <w:rFonts w:ascii="Times New Roman" w:hAnsi="Times New Roman"/>
          <w:sz w:val="24"/>
          <w:szCs w:val="24"/>
        </w:rPr>
        <w:t xml:space="preserve">репарат Ливониб показан к лечению </w:t>
      </w:r>
      <w:r w:rsidR="00B138D5" w:rsidRPr="00B138D5">
        <w:rPr>
          <w:rFonts w:ascii="Times New Roman" w:hAnsi="Times New Roman"/>
          <w:sz w:val="24"/>
          <w:szCs w:val="24"/>
        </w:rPr>
        <w:t>распространенн</w:t>
      </w:r>
      <w:r w:rsidR="00B138D5">
        <w:rPr>
          <w:rFonts w:ascii="Times New Roman" w:hAnsi="Times New Roman"/>
          <w:sz w:val="24"/>
          <w:szCs w:val="24"/>
        </w:rPr>
        <w:t>ого</w:t>
      </w:r>
      <w:r w:rsidR="00B138D5" w:rsidRPr="00B138D5">
        <w:rPr>
          <w:rFonts w:ascii="Times New Roman" w:hAnsi="Times New Roman"/>
          <w:sz w:val="24"/>
          <w:szCs w:val="24"/>
        </w:rPr>
        <w:t xml:space="preserve"> почечно-клеточн</w:t>
      </w:r>
      <w:r w:rsidR="00B138D5">
        <w:rPr>
          <w:rFonts w:ascii="Times New Roman" w:hAnsi="Times New Roman"/>
          <w:sz w:val="24"/>
          <w:szCs w:val="24"/>
        </w:rPr>
        <w:t>ого</w:t>
      </w:r>
      <w:r w:rsidR="00B138D5" w:rsidRPr="00B138D5">
        <w:rPr>
          <w:rFonts w:ascii="Times New Roman" w:hAnsi="Times New Roman"/>
          <w:sz w:val="24"/>
          <w:szCs w:val="24"/>
        </w:rPr>
        <w:t xml:space="preserve"> рак</w:t>
      </w:r>
      <w:r w:rsidR="00B138D5">
        <w:rPr>
          <w:rFonts w:ascii="Times New Roman" w:hAnsi="Times New Roman"/>
          <w:sz w:val="24"/>
          <w:szCs w:val="24"/>
        </w:rPr>
        <w:t>а</w:t>
      </w:r>
      <w:r w:rsidR="00B138D5" w:rsidRPr="00B138D5">
        <w:rPr>
          <w:rFonts w:ascii="Times New Roman" w:hAnsi="Times New Roman"/>
          <w:sz w:val="24"/>
          <w:szCs w:val="24"/>
        </w:rPr>
        <w:t xml:space="preserve"> после неуспешной терапии на основе интерферона альфа или интерлейкина-2 или у пациентов, которым такая терапия не показана</w:t>
      </w:r>
    </w:p>
    <w:p w14:paraId="0052B179" w14:textId="77777777" w:rsidR="00B138D5" w:rsidRDefault="00AB0BF2" w:rsidP="00B138D5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138D5" w:rsidRPr="00B138D5">
        <w:rPr>
          <w:rFonts w:ascii="Times New Roman" w:hAnsi="Times New Roman"/>
          <w:sz w:val="24"/>
          <w:szCs w:val="24"/>
        </w:rPr>
        <w:t>репарат Ливониб показан к лечению</w:t>
      </w:r>
      <w:r w:rsidR="00B138D5">
        <w:rPr>
          <w:rFonts w:ascii="Times New Roman" w:hAnsi="Times New Roman"/>
          <w:sz w:val="24"/>
          <w:szCs w:val="24"/>
        </w:rPr>
        <w:t xml:space="preserve"> </w:t>
      </w:r>
      <w:r w:rsidR="00B138D5" w:rsidRPr="00B138D5">
        <w:rPr>
          <w:rFonts w:ascii="Times New Roman" w:hAnsi="Times New Roman"/>
          <w:sz w:val="24"/>
          <w:szCs w:val="24"/>
        </w:rPr>
        <w:t>прогрессирую</w:t>
      </w:r>
      <w:r w:rsidR="00B138D5">
        <w:rPr>
          <w:rFonts w:ascii="Times New Roman" w:hAnsi="Times New Roman"/>
          <w:sz w:val="24"/>
          <w:szCs w:val="24"/>
        </w:rPr>
        <w:t>щего</w:t>
      </w:r>
      <w:r w:rsidR="00B138D5" w:rsidRPr="00B138D5">
        <w:rPr>
          <w:rFonts w:ascii="Times New Roman" w:hAnsi="Times New Roman"/>
          <w:sz w:val="24"/>
          <w:szCs w:val="24"/>
        </w:rPr>
        <w:t>, местно-распространенн</w:t>
      </w:r>
      <w:r w:rsidR="00B138D5">
        <w:rPr>
          <w:rFonts w:ascii="Times New Roman" w:hAnsi="Times New Roman"/>
          <w:sz w:val="24"/>
          <w:szCs w:val="24"/>
        </w:rPr>
        <w:t>ого</w:t>
      </w:r>
      <w:r w:rsidR="00B138D5" w:rsidRPr="00B138D5">
        <w:rPr>
          <w:rFonts w:ascii="Times New Roman" w:hAnsi="Times New Roman"/>
          <w:sz w:val="24"/>
          <w:szCs w:val="24"/>
        </w:rPr>
        <w:t xml:space="preserve"> или метастатическ</w:t>
      </w:r>
      <w:r w:rsidR="00B138D5">
        <w:rPr>
          <w:rFonts w:ascii="Times New Roman" w:hAnsi="Times New Roman"/>
          <w:sz w:val="24"/>
          <w:szCs w:val="24"/>
        </w:rPr>
        <w:t xml:space="preserve">ого </w:t>
      </w:r>
      <w:r w:rsidR="00B138D5" w:rsidRPr="00B138D5">
        <w:rPr>
          <w:rFonts w:ascii="Times New Roman" w:hAnsi="Times New Roman"/>
          <w:sz w:val="24"/>
          <w:szCs w:val="24"/>
        </w:rPr>
        <w:t>дифференцирован</w:t>
      </w:r>
      <w:r w:rsidR="00B138D5">
        <w:rPr>
          <w:rFonts w:ascii="Times New Roman" w:hAnsi="Times New Roman"/>
          <w:sz w:val="24"/>
          <w:szCs w:val="24"/>
        </w:rPr>
        <w:t>ного</w:t>
      </w:r>
      <w:r w:rsidR="00B138D5" w:rsidRPr="00B138D5">
        <w:rPr>
          <w:rFonts w:ascii="Times New Roman" w:hAnsi="Times New Roman"/>
          <w:sz w:val="24"/>
          <w:szCs w:val="24"/>
        </w:rPr>
        <w:t xml:space="preserve"> (папиллярный/фолликулярный/Гюртле-клеточный) рак</w:t>
      </w:r>
      <w:r w:rsidR="00B138D5">
        <w:rPr>
          <w:rFonts w:ascii="Times New Roman" w:hAnsi="Times New Roman"/>
          <w:sz w:val="24"/>
          <w:szCs w:val="24"/>
        </w:rPr>
        <w:t>а</w:t>
      </w:r>
      <w:r w:rsidR="00B138D5" w:rsidRPr="00B138D5">
        <w:rPr>
          <w:rFonts w:ascii="Times New Roman" w:hAnsi="Times New Roman"/>
          <w:sz w:val="24"/>
          <w:szCs w:val="24"/>
        </w:rPr>
        <w:t xml:space="preserve"> щитовидной железы, рефрактерный к радиоактивному йоду</w:t>
      </w:r>
      <w:r w:rsidR="00EF5F48">
        <w:rPr>
          <w:rFonts w:ascii="Times New Roman" w:hAnsi="Times New Roman"/>
          <w:sz w:val="24"/>
          <w:szCs w:val="24"/>
        </w:rPr>
        <w:t>.</w:t>
      </w:r>
    </w:p>
    <w:p w14:paraId="7F6F1D09" w14:textId="77777777" w:rsidR="00B138D5" w:rsidRPr="00B138D5" w:rsidRDefault="00B138D5" w:rsidP="00B138D5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B9D74F" w14:textId="77777777" w:rsidR="00B7231F" w:rsidRPr="008C2E13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4" w:name="2175220274"/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4885CF49" w14:textId="77777777" w:rsidR="00891EB8" w:rsidRPr="008C2E13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bookmarkEnd w:id="4"/>
    <w:p w14:paraId="506DF856" w14:textId="77777777" w:rsidR="002B12A2" w:rsidRDefault="002B12A2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2A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</w:t>
      </w:r>
      <w:r w:rsidR="0058288C">
        <w:rPr>
          <w:rFonts w:ascii="Times New Roman" w:eastAsia="Times New Roman" w:hAnsi="Times New Roman"/>
          <w:sz w:val="24"/>
          <w:szCs w:val="24"/>
          <w:lang w:eastAsia="ru-RU"/>
        </w:rPr>
        <w:t>Ливониб</w:t>
      </w:r>
      <w:r w:rsidRPr="002B12A2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должен назначаться врачами, имеющими опыт назначения противоопухолевой терапии.</w:t>
      </w:r>
    </w:p>
    <w:p w14:paraId="25DCECC3" w14:textId="77777777" w:rsidR="002B12A2" w:rsidRPr="002B12A2" w:rsidRDefault="002B12A2" w:rsidP="002B12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2A2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Рекомендуемая суточная доза препарата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Ливониб</w:t>
      </w:r>
      <w:r w:rsidRPr="002B12A2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800 мг. Суточная доза назначается в два приема (по 2 таблетки 2 раза в сутки). </w:t>
      </w:r>
    </w:p>
    <w:p w14:paraId="2773AF70" w14:textId="77777777" w:rsidR="002B12A2" w:rsidRDefault="002B12A2" w:rsidP="002B12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2A2">
        <w:rPr>
          <w:rFonts w:ascii="Times New Roman" w:eastAsia="Times New Roman" w:hAnsi="Times New Roman"/>
          <w:sz w:val="24"/>
          <w:szCs w:val="24"/>
          <w:lang w:eastAsia="ru-RU"/>
        </w:rPr>
        <w:t xml:space="preserve">Лечение продолжают до тех пор, пока сохраняется клиническая эффективность препарата или до появления его неприемлемого токсического действия.  </w:t>
      </w:r>
    </w:p>
    <w:p w14:paraId="1C1E10D0" w14:textId="77777777" w:rsidR="002B12A2" w:rsidRDefault="002B12A2" w:rsidP="002B12A2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2B12A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Коррекция дозы</w:t>
      </w:r>
    </w:p>
    <w:p w14:paraId="4877CD16" w14:textId="77777777" w:rsidR="002B12A2" w:rsidRDefault="002B12A2" w:rsidP="002B12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2A2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возможных нежелательных реакций может потребовать временного прекращения приема и/или уменьшения дозы препарата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Ливониб</w:t>
      </w:r>
      <w:r w:rsidRPr="002B12A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7039072" w14:textId="77777777" w:rsidR="002B12A2" w:rsidRDefault="002B12A2" w:rsidP="002B12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Если требуется снижение дозы</w:t>
      </w:r>
      <w:r w:rsidRPr="002B12A2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время лечения гепатоцеллюлярной карциномы (ГЦК) и прогрессирующей почечно-клеточной карциномы (РЦК)</w:t>
      </w:r>
      <w:r w:rsidR="006E6F2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B12A2">
        <w:rPr>
          <w:rFonts w:ascii="Times New Roman" w:eastAsia="Times New Roman" w:hAnsi="Times New Roman"/>
          <w:sz w:val="24"/>
          <w:szCs w:val="24"/>
          <w:lang w:eastAsia="ru-RU"/>
        </w:rPr>
        <w:t xml:space="preserve"> дозу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препарата Ливониб</w:t>
      </w:r>
      <w:r w:rsidRPr="002B12A2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снизить</w:t>
      </w:r>
      <w:r w:rsidRPr="002B12A2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400 мг в </w:t>
      </w:r>
      <w:r w:rsidR="006E6F2D">
        <w:rPr>
          <w:rFonts w:ascii="Times New Roman" w:eastAsia="Times New Roman" w:hAnsi="Times New Roman"/>
          <w:sz w:val="24"/>
          <w:szCs w:val="24"/>
          <w:lang w:eastAsia="ru-RU"/>
        </w:rPr>
        <w:t>день</w:t>
      </w:r>
      <w:r w:rsidRPr="002B12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6F2D">
        <w:rPr>
          <w:rFonts w:ascii="Times New Roman" w:eastAsia="Times New Roman" w:hAnsi="Times New Roman"/>
          <w:sz w:val="24"/>
          <w:szCs w:val="24"/>
          <w:lang w:eastAsia="ru-RU"/>
        </w:rPr>
        <w:t xml:space="preserve">(2 таблетки 1 раз в день) </w:t>
      </w:r>
      <w:r w:rsidRPr="002B12A2">
        <w:rPr>
          <w:rFonts w:ascii="Times New Roman" w:eastAsia="Times New Roman" w:hAnsi="Times New Roman"/>
          <w:sz w:val="24"/>
          <w:szCs w:val="24"/>
          <w:lang w:eastAsia="ru-RU"/>
        </w:rPr>
        <w:t>(см. раздел 4.4).</w:t>
      </w:r>
    </w:p>
    <w:p w14:paraId="1EC93BE2" w14:textId="77777777" w:rsidR="006E6F2D" w:rsidRPr="006E6F2D" w:rsidRDefault="006E6F2D" w:rsidP="006E6F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Если требуется снижение дозы</w:t>
      </w:r>
      <w:r w:rsidRPr="002B12A2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время лечения 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>дифференцированной карциномы щитовидной железы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 xml:space="preserve">дозу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препарата Ливониб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уменьшить до 600 мг в день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разделив прием на 2 части 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принять 2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 xml:space="preserve"> таблетки по 200 мг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12 часов принять дополнительно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еще 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>одн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>таблетк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>200 мг).</w:t>
      </w:r>
    </w:p>
    <w:p w14:paraId="290B181B" w14:textId="77777777" w:rsidR="006E6F2D" w:rsidRDefault="006E6F2D" w:rsidP="006E6F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требуется 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дополнительное снижение дозы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препарата Ливониб,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можно ее снизить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 xml:space="preserve"> до 400 мг в день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разделив на 2 приема 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7C22D2">
        <w:rPr>
          <w:rFonts w:ascii="Times New Roman" w:eastAsia="Times New Roman" w:hAnsi="Times New Roman"/>
          <w:sz w:val="24"/>
          <w:szCs w:val="24"/>
          <w:lang w:eastAsia="ru-RU"/>
        </w:rPr>
        <w:t>по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таблетк</w:t>
      </w:r>
      <w:r w:rsidR="007C22D2">
        <w:rPr>
          <w:rFonts w:ascii="Times New Roman" w:eastAsia="Times New Roman" w:hAnsi="Times New Roman"/>
          <w:sz w:val="24"/>
          <w:szCs w:val="24"/>
          <w:lang w:eastAsia="ru-RU"/>
        </w:rPr>
        <w:t>е 2 раза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день с интервалом между приемами </w:t>
      </w:r>
      <w:r w:rsidR="007C22D2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 часов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>), при необходимости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можно 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снизить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 xml:space="preserve"> таблетки </w:t>
      </w:r>
      <w:r w:rsidR="008F3FF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>200 мг</w:t>
      </w:r>
      <w:r w:rsidR="008F3FF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 xml:space="preserve"> в день. После уменьшения выраженности нежелательных реакций, за исключением гематологических, доз</w:t>
      </w:r>
      <w:r w:rsidR="001E5C6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препарата </w:t>
      </w:r>
      <w:r w:rsidR="001E5C62">
        <w:rPr>
          <w:rFonts w:ascii="Times New Roman" w:eastAsia="Times New Roman" w:hAnsi="Times New Roman"/>
          <w:sz w:val="24"/>
          <w:szCs w:val="24"/>
          <w:lang w:eastAsia="ru-RU"/>
        </w:rPr>
        <w:t>Ливониб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 xml:space="preserve"> мож</w:t>
      </w:r>
      <w:r w:rsidR="001E5C62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увелич</w:t>
      </w:r>
      <w:r w:rsidR="001E5C62">
        <w:rPr>
          <w:rFonts w:ascii="Times New Roman" w:eastAsia="Times New Roman" w:hAnsi="Times New Roman"/>
          <w:sz w:val="24"/>
          <w:szCs w:val="24"/>
          <w:lang w:eastAsia="ru-RU"/>
        </w:rPr>
        <w:t>ить</w:t>
      </w:r>
      <w:r w:rsidRPr="006E6F2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A896D5" w14:textId="77777777" w:rsidR="009F5A85" w:rsidRPr="008C2E13" w:rsidRDefault="00B21CF0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>Особые группы пациентов</w:t>
      </w:r>
    </w:p>
    <w:p w14:paraId="43AF26BF" w14:textId="77777777" w:rsidR="00C77910" w:rsidRPr="008C2E13" w:rsidRDefault="00C77910" w:rsidP="0078568D">
      <w:pPr>
        <w:spacing w:after="0" w:line="240" w:lineRule="auto"/>
        <w:jc w:val="both"/>
        <w:outlineLvl w:val="2"/>
        <w:rPr>
          <w:rFonts w:ascii="Times New Roman" w:eastAsia="Microsoft Sans Serif" w:hAnsi="Times New Roman"/>
          <w:i/>
          <w:sz w:val="24"/>
          <w:szCs w:val="24"/>
        </w:rPr>
      </w:pPr>
      <w:bookmarkStart w:id="5" w:name="bookmark18"/>
      <w:r w:rsidRPr="008C2E13">
        <w:rPr>
          <w:rFonts w:ascii="Times New Roman" w:hAnsi="Times New Roman"/>
          <w:i/>
          <w:sz w:val="24"/>
          <w:szCs w:val="24"/>
        </w:rPr>
        <w:t>Дети</w:t>
      </w:r>
    </w:p>
    <w:p w14:paraId="316E3E29" w14:textId="77777777" w:rsidR="006D782F" w:rsidRDefault="006D782F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82F">
        <w:rPr>
          <w:rFonts w:ascii="Times New Roman" w:hAnsi="Times New Roman"/>
          <w:sz w:val="24"/>
          <w:szCs w:val="24"/>
        </w:rPr>
        <w:t xml:space="preserve">Эффективность и безопасность у детей и подростков младше 18 лет не установлена. Доступные данные отсутствуют. </w:t>
      </w:r>
    </w:p>
    <w:p w14:paraId="6D537D63" w14:textId="77777777" w:rsidR="009F5A85" w:rsidRPr="008C2E13" w:rsidRDefault="009F5A85" w:rsidP="0078568D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</w:pPr>
      <w:r w:rsidRPr="008C2E1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Пациент</w:t>
      </w:r>
      <w:r w:rsidR="00C77910" w:rsidRPr="008C2E1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ы</w:t>
      </w:r>
      <w:r w:rsidRPr="008C2E1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 xml:space="preserve"> пожилого возраста</w:t>
      </w:r>
    </w:p>
    <w:p w14:paraId="36FE3EA5" w14:textId="77777777" w:rsidR="009F5A85" w:rsidRPr="008C2E13" w:rsidRDefault="006D782F" w:rsidP="006D782F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</w:rPr>
      </w:pPr>
      <w:bookmarkStart w:id="6" w:name="bookmark19"/>
      <w:bookmarkEnd w:id="5"/>
      <w:r w:rsidRPr="006D782F">
        <w:rPr>
          <w:rFonts w:ascii="Times New Roman" w:hAnsi="Times New Roman"/>
          <w:sz w:val="24"/>
          <w:szCs w:val="24"/>
        </w:rPr>
        <w:t xml:space="preserve">Коррекция дозы препарата в зависимости от возраста (старше 65 лет) не требуется. </w:t>
      </w:r>
      <w:bookmarkEnd w:id="6"/>
    </w:p>
    <w:p w14:paraId="52B60733" w14:textId="77777777" w:rsidR="009F5A85" w:rsidRPr="008C2E13" w:rsidRDefault="009F5A85" w:rsidP="0078568D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</w:pPr>
      <w:bookmarkStart w:id="7" w:name="bookmark20"/>
      <w:r w:rsidRPr="008C2E1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Пациент</w:t>
      </w:r>
      <w:r w:rsidR="00C77910" w:rsidRPr="008C2E1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ы</w:t>
      </w:r>
      <w:r w:rsidRPr="008C2E1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 xml:space="preserve"> с почечной недостаточностью</w:t>
      </w:r>
      <w:bookmarkEnd w:id="7"/>
    </w:p>
    <w:p w14:paraId="2C3EFF67" w14:textId="77777777" w:rsidR="006D782F" w:rsidRPr="006D782F" w:rsidRDefault="006D782F" w:rsidP="006D78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82F">
        <w:rPr>
          <w:rFonts w:ascii="Times New Roman" w:hAnsi="Times New Roman"/>
          <w:sz w:val="24"/>
          <w:szCs w:val="24"/>
        </w:rPr>
        <w:t>При легких, средних или тяжелых нарушениях функции почек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782F">
        <w:rPr>
          <w:rFonts w:ascii="Times New Roman" w:hAnsi="Times New Roman"/>
          <w:sz w:val="24"/>
          <w:szCs w:val="24"/>
        </w:rPr>
        <w:t xml:space="preserve">коррекция дозы препарата </w:t>
      </w:r>
      <w:r>
        <w:rPr>
          <w:rFonts w:ascii="Times New Roman" w:hAnsi="Times New Roman"/>
          <w:sz w:val="24"/>
          <w:szCs w:val="24"/>
        </w:rPr>
        <w:t>Ливониб</w:t>
      </w:r>
      <w:r w:rsidRPr="006D782F">
        <w:rPr>
          <w:rFonts w:ascii="Times New Roman" w:hAnsi="Times New Roman"/>
          <w:sz w:val="24"/>
          <w:szCs w:val="24"/>
        </w:rPr>
        <w:t xml:space="preserve"> не требуется (см. раздел 5.2). </w:t>
      </w:r>
    </w:p>
    <w:p w14:paraId="07D8DE06" w14:textId="77777777" w:rsidR="006D782F" w:rsidRDefault="006D782F" w:rsidP="006D78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82F">
        <w:rPr>
          <w:rFonts w:ascii="Times New Roman" w:hAnsi="Times New Roman"/>
          <w:sz w:val="24"/>
          <w:szCs w:val="24"/>
        </w:rPr>
        <w:t>Данные о пациентах, нуждающихся в диализе, отсутствуют (см. раздел 5.2).</w:t>
      </w:r>
    </w:p>
    <w:p w14:paraId="25CA4A39" w14:textId="77777777" w:rsidR="006D782F" w:rsidRDefault="006D782F" w:rsidP="006D78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82F">
        <w:rPr>
          <w:rFonts w:ascii="Times New Roman" w:hAnsi="Times New Roman"/>
          <w:sz w:val="24"/>
          <w:szCs w:val="24"/>
        </w:rPr>
        <w:t xml:space="preserve">Рекомендовано проводить регулярный контроль водно-электролитного баланса у </w:t>
      </w:r>
      <w:r w:rsidR="00594D05">
        <w:rPr>
          <w:rFonts w:ascii="Times New Roman" w:hAnsi="Times New Roman"/>
          <w:sz w:val="24"/>
          <w:szCs w:val="24"/>
        </w:rPr>
        <w:t>пациентов</w:t>
      </w:r>
      <w:r w:rsidRPr="006D782F">
        <w:rPr>
          <w:rFonts w:ascii="Times New Roman" w:hAnsi="Times New Roman"/>
          <w:sz w:val="24"/>
          <w:szCs w:val="24"/>
        </w:rPr>
        <w:t xml:space="preserve"> с риском развития почечной дисфункции.</w:t>
      </w:r>
    </w:p>
    <w:p w14:paraId="5C8E2F77" w14:textId="77777777" w:rsidR="006D782F" w:rsidRPr="008C2E13" w:rsidRDefault="006D782F" w:rsidP="006D782F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</w:pPr>
      <w:r w:rsidRPr="008C2E1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Пациенты с п</w:t>
      </w:r>
      <w:r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е</w:t>
      </w:r>
      <w:r w:rsidRPr="008C2E1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че</w:t>
      </w:r>
      <w:r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но</w:t>
      </w:r>
      <w:r w:rsidRPr="008C2E13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чной недостаточностью</w:t>
      </w:r>
    </w:p>
    <w:p w14:paraId="55BFE25D" w14:textId="77777777" w:rsidR="006D782F" w:rsidRDefault="006D782F" w:rsidP="006D78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Пациентам</w:t>
      </w:r>
      <w:r w:rsidRPr="006D78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печеночной недостаточностью класса</w:t>
      </w:r>
      <w:r w:rsidRPr="006D782F">
        <w:rPr>
          <w:rFonts w:ascii="Times New Roman" w:hAnsi="Times New Roman"/>
          <w:sz w:val="24"/>
          <w:szCs w:val="24"/>
        </w:rPr>
        <w:t xml:space="preserve"> А и В</w:t>
      </w:r>
      <w:r>
        <w:rPr>
          <w:rFonts w:ascii="Times New Roman" w:hAnsi="Times New Roman"/>
          <w:sz w:val="24"/>
          <w:szCs w:val="24"/>
        </w:rPr>
        <w:t xml:space="preserve"> (от легкой до умеренной степени)</w:t>
      </w:r>
      <w:r w:rsidRPr="006D782F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шкале</w:t>
      </w:r>
      <w:r w:rsidRPr="006D782F">
        <w:rPr>
          <w:rFonts w:ascii="Times New Roman" w:hAnsi="Times New Roman"/>
          <w:sz w:val="24"/>
          <w:szCs w:val="24"/>
        </w:rPr>
        <w:t xml:space="preserve"> Чайлд</w:t>
      </w:r>
      <w:r>
        <w:rPr>
          <w:rFonts w:ascii="Times New Roman" w:hAnsi="Times New Roman"/>
          <w:sz w:val="24"/>
          <w:szCs w:val="24"/>
        </w:rPr>
        <w:t>а</w:t>
      </w:r>
      <w:r w:rsidRPr="006D782F">
        <w:rPr>
          <w:rFonts w:ascii="Times New Roman" w:hAnsi="Times New Roman"/>
          <w:sz w:val="24"/>
          <w:szCs w:val="24"/>
        </w:rPr>
        <w:t>-Пью коррекци</w:t>
      </w:r>
      <w:r>
        <w:rPr>
          <w:rFonts w:ascii="Times New Roman" w:hAnsi="Times New Roman"/>
          <w:sz w:val="24"/>
          <w:szCs w:val="24"/>
        </w:rPr>
        <w:t>и</w:t>
      </w:r>
      <w:r w:rsidRPr="006D782F">
        <w:rPr>
          <w:rFonts w:ascii="Times New Roman" w:hAnsi="Times New Roman"/>
          <w:sz w:val="24"/>
          <w:szCs w:val="24"/>
        </w:rPr>
        <w:t xml:space="preserve"> дозы не требуется. </w:t>
      </w:r>
      <w:r>
        <w:rPr>
          <w:rFonts w:ascii="Times New Roman" w:hAnsi="Times New Roman"/>
          <w:sz w:val="24"/>
          <w:szCs w:val="24"/>
        </w:rPr>
        <w:t>Прием</w:t>
      </w:r>
      <w:r w:rsidRPr="006D78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сорафениба</w:t>
      </w:r>
      <w:r w:rsidRPr="006D782F"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hAnsi="Times New Roman"/>
          <w:sz w:val="24"/>
          <w:szCs w:val="24"/>
        </w:rPr>
        <w:t>пациентов</w:t>
      </w:r>
      <w:r w:rsidRPr="006D782F">
        <w:rPr>
          <w:rFonts w:ascii="Times New Roman" w:hAnsi="Times New Roman"/>
          <w:sz w:val="24"/>
          <w:szCs w:val="24"/>
        </w:rPr>
        <w:t xml:space="preserve"> с нарушением функции печени класса С по </w:t>
      </w:r>
      <w:r>
        <w:rPr>
          <w:rFonts w:ascii="Times New Roman" w:hAnsi="Times New Roman"/>
          <w:sz w:val="24"/>
          <w:szCs w:val="24"/>
        </w:rPr>
        <w:t>шкале</w:t>
      </w:r>
      <w:r w:rsidRPr="006D782F">
        <w:rPr>
          <w:rFonts w:ascii="Times New Roman" w:hAnsi="Times New Roman"/>
          <w:sz w:val="24"/>
          <w:szCs w:val="24"/>
        </w:rPr>
        <w:t xml:space="preserve"> Чайлд</w:t>
      </w:r>
      <w:r>
        <w:rPr>
          <w:rFonts w:ascii="Times New Roman" w:hAnsi="Times New Roman"/>
          <w:sz w:val="24"/>
          <w:szCs w:val="24"/>
        </w:rPr>
        <w:t>а</w:t>
      </w:r>
      <w:r w:rsidRPr="006D782F">
        <w:rPr>
          <w:rFonts w:ascii="Times New Roman" w:hAnsi="Times New Roman"/>
          <w:sz w:val="24"/>
          <w:szCs w:val="24"/>
        </w:rPr>
        <w:t>-Пью не изучено (см. раздел 4.4 и 5.2).</w:t>
      </w:r>
    </w:p>
    <w:p w14:paraId="3D5BE679" w14:textId="77777777" w:rsidR="009F5A85" w:rsidRPr="008C2E13" w:rsidRDefault="009F5A85" w:rsidP="006D78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2E13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14:paraId="09A57DE3" w14:textId="77777777" w:rsidR="00F42D3C" w:rsidRDefault="00AB60E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Перорально.</w:t>
      </w:r>
    </w:p>
    <w:p w14:paraId="2CDB1D58" w14:textId="77777777" w:rsidR="00AB60EC" w:rsidRDefault="00AB60E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Препарат следует принимать натощак или </w:t>
      </w:r>
      <w:r w:rsidR="00CA0297">
        <w:rPr>
          <w:rFonts w:ascii="Times New Roman" w:hAnsi="Times New Roman"/>
          <w:sz w:val="24"/>
          <w:szCs w:val="24"/>
        </w:rPr>
        <w:t xml:space="preserve">вместе </w:t>
      </w:r>
      <w:r>
        <w:rPr>
          <w:rFonts w:ascii="Times New Roman" w:hAnsi="Times New Roman"/>
          <w:sz w:val="24"/>
          <w:szCs w:val="24"/>
        </w:rPr>
        <w:t>с пищей с низким или умеренным содержанием жиров</w:t>
      </w:r>
      <w:r w:rsidR="00CA02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</w:t>
      </w:r>
      <w:r w:rsidR="000C50D9">
        <w:rPr>
          <w:rFonts w:ascii="Times New Roman" w:hAnsi="Times New Roman"/>
          <w:sz w:val="24"/>
          <w:szCs w:val="24"/>
        </w:rPr>
        <w:t xml:space="preserve">минимум </w:t>
      </w:r>
      <w:r>
        <w:rPr>
          <w:rFonts w:ascii="Times New Roman" w:hAnsi="Times New Roman"/>
          <w:sz w:val="24"/>
          <w:szCs w:val="24"/>
        </w:rPr>
        <w:t xml:space="preserve">за 1 час до или через 2 часа после еды. </w:t>
      </w:r>
    </w:p>
    <w:p w14:paraId="6D01956E" w14:textId="77777777" w:rsidR="00AB60EC" w:rsidRPr="008C2E13" w:rsidRDefault="00AB60EC" w:rsidP="0078568D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AB60EC">
        <w:rPr>
          <w:rFonts w:ascii="Times New Roman" w:eastAsia="Microsoft Sans Serif" w:hAnsi="Times New Roman"/>
          <w:sz w:val="24"/>
          <w:szCs w:val="24"/>
          <w:lang w:bidi="ru-RU"/>
        </w:rPr>
        <w:t xml:space="preserve">Таблетки следует </w:t>
      </w:r>
      <w:r>
        <w:rPr>
          <w:rFonts w:ascii="Times New Roman" w:eastAsia="Microsoft Sans Serif" w:hAnsi="Times New Roman"/>
          <w:sz w:val="24"/>
          <w:szCs w:val="24"/>
          <w:lang w:bidi="ru-RU"/>
        </w:rPr>
        <w:t>запивать</w:t>
      </w:r>
      <w:r w:rsidRPr="00AB60EC">
        <w:rPr>
          <w:rFonts w:ascii="Times New Roman" w:eastAsia="Microsoft Sans Serif" w:hAnsi="Times New Roman"/>
          <w:sz w:val="24"/>
          <w:szCs w:val="24"/>
          <w:lang w:bidi="ru-RU"/>
        </w:rPr>
        <w:t xml:space="preserve"> стаканом воды.</w:t>
      </w:r>
    </w:p>
    <w:p w14:paraId="70CE7C58" w14:textId="77777777" w:rsidR="0078568D" w:rsidRPr="008C2E13" w:rsidRDefault="0078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851EA6" w14:textId="77777777" w:rsidR="007D0E84" w:rsidRPr="008C2E13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59F5A8AF" w14:textId="77777777" w:rsidR="007D0E84" w:rsidRDefault="00457E38" w:rsidP="007856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7E38">
        <w:rPr>
          <w:rFonts w:ascii="Times New Roman" w:hAnsi="Times New Roman"/>
          <w:sz w:val="24"/>
          <w:szCs w:val="24"/>
        </w:rPr>
        <w:t xml:space="preserve">- гиперчувствительность к </w:t>
      </w:r>
      <w:r>
        <w:rPr>
          <w:rFonts w:ascii="Times New Roman" w:hAnsi="Times New Roman"/>
          <w:sz w:val="24"/>
          <w:szCs w:val="24"/>
        </w:rPr>
        <w:t>активному</w:t>
      </w:r>
      <w:r w:rsidRPr="00457E38">
        <w:rPr>
          <w:rFonts w:ascii="Times New Roman" w:hAnsi="Times New Roman"/>
          <w:sz w:val="24"/>
          <w:szCs w:val="24"/>
        </w:rPr>
        <w:t xml:space="preserve"> веществу или к любому из вспомогательных </w:t>
      </w:r>
      <w:r>
        <w:rPr>
          <w:rFonts w:ascii="Times New Roman" w:hAnsi="Times New Roman"/>
          <w:sz w:val="24"/>
          <w:szCs w:val="24"/>
        </w:rPr>
        <w:t>компонентов</w:t>
      </w:r>
      <w:r w:rsidRPr="00457E38">
        <w:rPr>
          <w:rFonts w:ascii="Times New Roman" w:hAnsi="Times New Roman"/>
          <w:sz w:val="24"/>
          <w:szCs w:val="24"/>
        </w:rPr>
        <w:t>, перечисленных в разделе 6.1.</w:t>
      </w:r>
    </w:p>
    <w:p w14:paraId="40552E5F" w14:textId="77777777" w:rsidR="00457E38" w:rsidRPr="008C2E13" w:rsidRDefault="00457E38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E0C276" w14:textId="77777777" w:rsidR="00B10089" w:rsidRPr="008C2E13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8C2E13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2F90FB71" w14:textId="77777777" w:rsidR="00BE2D95" w:rsidRPr="00BE2D95" w:rsidRDefault="00BE2D95" w:rsidP="00BE2D9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Ладонно-подошвенный кожный синдром (ладонно-подошвенная эритродизэстезия) и сыпь относятся к наиболее часто наблюдаемым нежелательным явлениям при лечении сорафенибом. Как правило, эти реакции бывают 1 или 2 степени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тяжести</w:t>
      </w: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по критериям СТС (общим критериям токсичности Национального института рака) и наблюдаются в течение первых шести недель лечения сорафенибом.</w:t>
      </w:r>
    </w:p>
    <w:p w14:paraId="680AD7F8" w14:textId="77777777" w:rsidR="000A15B0" w:rsidRDefault="00BE2D95" w:rsidP="00BE2D9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лечения кожных токсических реакций можно использовать местную симптоматическую терапию. При необходимости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следует </w:t>
      </w: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временно прекра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тить </w:t>
      </w: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лечение и/или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скорректировать дозу</w:t>
      </w: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препарата Ливониб</w:t>
      </w: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или, в тяжелых или повторяющихся случаях кожных реакций, терапию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препаратом Ливониб</w:t>
      </w: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отменить (</w:t>
      </w: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см. раздел 4.8).</w:t>
      </w:r>
    </w:p>
    <w:p w14:paraId="030C2E99" w14:textId="77777777" w:rsidR="00BE2D95" w:rsidRPr="00BE2D95" w:rsidRDefault="00BE2D95" w:rsidP="00BE2D95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BE2D9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Артериальная гипертензия</w:t>
      </w:r>
    </w:p>
    <w:p w14:paraId="05644D79" w14:textId="77777777" w:rsidR="00BE2D95" w:rsidRDefault="00BE2D95" w:rsidP="00BE2D9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У пациентов, получавших лечение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сорафенибом</w:t>
      </w: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наблюдалась повышенная частота артериальной гипертензии. Артериальная гипертензия на фоне лечения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сорафенибом </w:t>
      </w: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обычно носила легкий или умеренный характер, наблюдалась в начале курса лечения и поддавалась лечению стандартными антигипертензивными препаратами. Во время лечения препаратом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Ливониб</w:t>
      </w: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следует регулярно контролировать артериальное давление и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при необходимости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корректировать его повышение стандартной антигипертензивной терапией. В случаях развития тяжелой или стойкой артериальной гипертензии или при появлении гипертонических кризов, несмотря на проведение адекватной антигипертензивной терапии, следует рассмотреть вопрос о прекращении лечения препаратом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Ливониб</w:t>
      </w: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 4.8).</w:t>
      </w:r>
    </w:p>
    <w:p w14:paraId="73FCBCAD" w14:textId="77777777" w:rsidR="00BE2D95" w:rsidRPr="00BE2D95" w:rsidRDefault="00BE2D95" w:rsidP="00BE2D95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BE2D9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Аневризмы и рассечение артерий </w:t>
      </w:r>
    </w:p>
    <w:p w14:paraId="41DF1FA4" w14:textId="77777777" w:rsidR="00BE2D95" w:rsidRDefault="00BE2D95" w:rsidP="00BE2D9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Применение ингибиторов VEGF</w:t>
      </w:r>
      <w:r w:rsidR="00494E3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(ф</w:t>
      </w:r>
      <w:r w:rsidR="00494E36" w:rsidRPr="00494E3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акторы роста эндотелия сосудов</w:t>
      </w:r>
      <w:r w:rsidR="00494E3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 пациентов с гипертензией или без нее может способствовать образованию аневризм и/или расслоению артерий. Перед началом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лечения</w:t>
      </w: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препарат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ом</w:t>
      </w: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Ливониб,</w:t>
      </w: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этот риск следует тщательно рассмотреть у пациентов с такими факторами риска, как гипертензия или аневризма в анамнезе.</w:t>
      </w:r>
    </w:p>
    <w:p w14:paraId="27CDA960" w14:textId="77777777" w:rsidR="00BE2D95" w:rsidRPr="00BE2D95" w:rsidRDefault="00BE2D95" w:rsidP="00BE2D95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BE2D9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Гипогликемия</w:t>
      </w:r>
    </w:p>
    <w:p w14:paraId="17E796B4" w14:textId="77777777" w:rsidR="00BE2D95" w:rsidRPr="00BE2D95" w:rsidRDefault="00BE2D95" w:rsidP="00BE2D9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Во время лечения сорафенибом сообщалось о снижении уровня глюкозы в крови, в некоторых случаях клинически симптоматическом и требующем госпитализации в связи с потерей сознания. В случае симптоматической гипогликемии прием сорафениба следует временно прервать. Уровень глюкозы в крови у </w:t>
      </w:r>
      <w:r w:rsidR="00594D0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пациентов</w:t>
      </w:r>
      <w:r w:rsidR="00F91FD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</w:t>
      </w: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сахарным диабетом следует регулярно проверять, чтобы определить, требуется ли корректировать дозировку </w:t>
      </w:r>
      <w:r w:rsidR="002B0AD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противо</w:t>
      </w: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диабетического лекарственного средства.</w:t>
      </w:r>
    </w:p>
    <w:p w14:paraId="2A8D2E2A" w14:textId="77777777" w:rsidR="00BE2D95" w:rsidRPr="00BE2D95" w:rsidRDefault="00BE2D95" w:rsidP="00BE2D95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BE2D9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Кровотечения</w:t>
      </w:r>
    </w:p>
    <w:p w14:paraId="0530D2A2" w14:textId="77777777" w:rsidR="00BE2D95" w:rsidRDefault="00BE2D95" w:rsidP="00BE2D9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Препарат Ливониб</w:t>
      </w: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может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повышать</w:t>
      </w:r>
      <w:r w:rsidRPr="00BE2D9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риск кровотечений. При появлении любого кровотечения, требующего медицинского вмешательства, рекомендуется рассмотреть вопрос о прекращении лечения сорафенибом (см. раздел 4.8). </w:t>
      </w:r>
    </w:p>
    <w:p w14:paraId="3D0D4E5E" w14:textId="77777777" w:rsidR="00BE2D95" w:rsidRPr="00BE2D95" w:rsidRDefault="00BE2D95" w:rsidP="00BE2D9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E2D95">
        <w:rPr>
          <w:rFonts w:ascii="Times New Roman" w:hAnsi="Times New Roman"/>
          <w:i/>
          <w:sz w:val="24"/>
          <w:szCs w:val="24"/>
        </w:rPr>
        <w:t>Ишемия миокарда и/или инфаркт миокарда</w:t>
      </w:r>
    </w:p>
    <w:p w14:paraId="42844ADC" w14:textId="77777777" w:rsidR="00BE2D95" w:rsidRPr="00BE2D95" w:rsidRDefault="00BE2D95" w:rsidP="00BE2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2D95">
        <w:rPr>
          <w:rFonts w:ascii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4"/>
          <w:szCs w:val="24"/>
        </w:rPr>
        <w:t>двойном слепом, плацебо-контролируемом, рандомизированном</w:t>
      </w:r>
      <w:r w:rsidRPr="00BE2D95">
        <w:rPr>
          <w:rFonts w:ascii="Times New Roman" w:eastAsia="Times New Roman" w:hAnsi="Times New Roman"/>
          <w:sz w:val="24"/>
          <w:szCs w:val="24"/>
        </w:rPr>
        <w:t xml:space="preserve"> исследовании </w:t>
      </w:r>
      <w:r>
        <w:rPr>
          <w:rFonts w:ascii="Times New Roman" w:eastAsia="Times New Roman" w:hAnsi="Times New Roman"/>
          <w:sz w:val="24"/>
          <w:szCs w:val="24"/>
        </w:rPr>
        <w:t xml:space="preserve">(исследование </w:t>
      </w:r>
      <w:r w:rsidRPr="00BE2D95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, см. раздел 5.1) </w:t>
      </w:r>
      <w:r w:rsidRPr="00BE2D95">
        <w:rPr>
          <w:rFonts w:ascii="Times New Roman" w:eastAsia="Times New Roman" w:hAnsi="Times New Roman"/>
          <w:sz w:val="24"/>
          <w:szCs w:val="24"/>
        </w:rPr>
        <w:t xml:space="preserve">частота потребовавшей лечения ишемии миокарда/инфаркта миокарда была выше у пациентов, получавших сорафениб (4,9%) по сравнению с группой плацебо (0,4%). В исследовании 3 частота потребовавшей лечения ишемии миокарда/инфаркта миокарда у пациентов, получавших сорафениб, составила 2,7% по сравнению с группой плацебо (1,3%). Пациенты с нестабильной ИБС или недавно перенесенным инфарктом миокарда не включались в эти исследования. При возникновении ишемии и/или инфаркта миокарда следует временно прекратить или отменить терапию препаратом </w:t>
      </w:r>
      <w:r>
        <w:rPr>
          <w:rFonts w:ascii="Times New Roman" w:eastAsia="Times New Roman" w:hAnsi="Times New Roman"/>
          <w:sz w:val="24"/>
          <w:szCs w:val="24"/>
        </w:rPr>
        <w:t>Ливониб</w:t>
      </w:r>
      <w:r w:rsidRPr="00BE2D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2D95">
        <w:rPr>
          <w:rFonts w:ascii="Times New Roman" w:hAnsi="Times New Roman"/>
          <w:snapToGrid w:val="0"/>
          <w:color w:val="000000"/>
          <w:sz w:val="24"/>
          <w:szCs w:val="24"/>
        </w:rPr>
        <w:t>(см. раздел 4.8).</w:t>
      </w:r>
    </w:p>
    <w:p w14:paraId="6838A42C" w14:textId="77777777" w:rsidR="00024ACC" w:rsidRPr="00024ACC" w:rsidRDefault="00024ACC" w:rsidP="00024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024ACC">
        <w:rPr>
          <w:rFonts w:ascii="Times New Roman" w:eastAsia="Times New Roman" w:hAnsi="Times New Roman"/>
          <w:i/>
          <w:sz w:val="24"/>
          <w:szCs w:val="24"/>
        </w:rPr>
        <w:t xml:space="preserve">Удлинение интервала </w:t>
      </w:r>
      <w:r w:rsidRPr="00024ACC">
        <w:rPr>
          <w:rFonts w:ascii="Times New Roman" w:eastAsia="Times New Roman" w:hAnsi="Times New Roman"/>
          <w:i/>
          <w:sz w:val="24"/>
          <w:szCs w:val="24"/>
          <w:lang w:val="en-US"/>
        </w:rPr>
        <w:t>QT</w:t>
      </w:r>
    </w:p>
    <w:p w14:paraId="5FFF2C69" w14:textId="77777777" w:rsidR="00024ACC" w:rsidRDefault="00024ACC" w:rsidP="00024A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24ACC">
        <w:rPr>
          <w:rFonts w:ascii="Times New Roman" w:eastAsia="Times New Roman" w:hAnsi="Times New Roman"/>
          <w:sz w:val="24"/>
          <w:szCs w:val="24"/>
        </w:rPr>
        <w:t>При применении сорафениба отмечалось удлинение интервала QT</w:t>
      </w:r>
      <w:r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  <w:lang w:val="en-US"/>
        </w:rPr>
        <w:t>QTc</w:t>
      </w:r>
      <w:r w:rsidRPr="00024ACC">
        <w:rPr>
          <w:rFonts w:ascii="Times New Roman" w:eastAsia="Times New Roman" w:hAnsi="Times New Roman"/>
          <w:sz w:val="24"/>
          <w:szCs w:val="24"/>
        </w:rPr>
        <w:t xml:space="preserve"> (см. раздел 5.1), что </w:t>
      </w:r>
      <w:r w:rsidRPr="00024ACC">
        <w:rPr>
          <w:rFonts w:ascii="Times New Roman" w:hAnsi="Times New Roman"/>
          <w:sz w:val="24"/>
          <w:szCs w:val="24"/>
        </w:rPr>
        <w:t xml:space="preserve">может приводить к повышенной частоте желудочковых аритмий. </w:t>
      </w:r>
      <w:r>
        <w:rPr>
          <w:rFonts w:ascii="Times New Roman" w:hAnsi="Times New Roman"/>
          <w:sz w:val="24"/>
          <w:szCs w:val="24"/>
        </w:rPr>
        <w:t>Следовательно,</w:t>
      </w:r>
      <w:r w:rsidRPr="00024A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препарат Ливониб</w:t>
      </w:r>
      <w:r w:rsidRPr="00024ACC">
        <w:rPr>
          <w:rFonts w:ascii="Times New Roman" w:hAnsi="Times New Roman"/>
          <w:sz w:val="24"/>
          <w:szCs w:val="24"/>
        </w:rPr>
        <w:t xml:space="preserve"> следует применять с осторожностью у пациентов с наличием удлинения интервала </w:t>
      </w:r>
      <w:r w:rsidRPr="00024ACC">
        <w:rPr>
          <w:rFonts w:ascii="Times New Roman" w:hAnsi="Times New Roman"/>
          <w:sz w:val="24"/>
          <w:szCs w:val="24"/>
          <w:lang w:val="en-US"/>
        </w:rPr>
        <w:t>QT</w:t>
      </w:r>
      <w:r>
        <w:rPr>
          <w:rFonts w:ascii="Times New Roman" w:hAnsi="Times New Roman"/>
          <w:sz w:val="24"/>
          <w:szCs w:val="24"/>
        </w:rPr>
        <w:t>с</w:t>
      </w:r>
      <w:r w:rsidRPr="00024ACC">
        <w:rPr>
          <w:rFonts w:ascii="Times New Roman" w:hAnsi="Times New Roman"/>
          <w:sz w:val="24"/>
          <w:szCs w:val="24"/>
        </w:rPr>
        <w:t xml:space="preserve">, в том числе врожденного характера или при наличии предпосылок </w:t>
      </w:r>
      <w:r>
        <w:rPr>
          <w:rFonts w:ascii="Times New Roman" w:hAnsi="Times New Roman"/>
          <w:sz w:val="24"/>
          <w:szCs w:val="24"/>
        </w:rPr>
        <w:t xml:space="preserve">к </w:t>
      </w:r>
      <w:r w:rsidRPr="00024ACC">
        <w:rPr>
          <w:rFonts w:ascii="Times New Roman" w:hAnsi="Times New Roman"/>
          <w:sz w:val="24"/>
          <w:szCs w:val="24"/>
        </w:rPr>
        <w:t>развити</w:t>
      </w:r>
      <w:r>
        <w:rPr>
          <w:rFonts w:ascii="Times New Roman" w:hAnsi="Times New Roman"/>
          <w:sz w:val="24"/>
          <w:szCs w:val="24"/>
        </w:rPr>
        <w:t>ю</w:t>
      </w:r>
      <w:r w:rsidRPr="00024ACC">
        <w:rPr>
          <w:rFonts w:ascii="Times New Roman" w:hAnsi="Times New Roman"/>
          <w:sz w:val="24"/>
          <w:szCs w:val="24"/>
        </w:rPr>
        <w:t xml:space="preserve"> удлинения интервала </w:t>
      </w:r>
      <w:r w:rsidRPr="00024ACC">
        <w:rPr>
          <w:rFonts w:ascii="Times New Roman" w:hAnsi="Times New Roman"/>
          <w:sz w:val="24"/>
          <w:szCs w:val="24"/>
          <w:lang w:val="en-US"/>
        </w:rPr>
        <w:t>QT</w:t>
      </w:r>
      <w:r w:rsidRPr="00024ACC">
        <w:rPr>
          <w:rFonts w:ascii="Times New Roman" w:hAnsi="Times New Roman"/>
          <w:sz w:val="24"/>
          <w:szCs w:val="24"/>
        </w:rPr>
        <w:t xml:space="preserve">; при лечении высокими кумулятивными дозами антрациклиновых препаратов; при приеме определенных антиаритмических препаратов или других препаратов, которые могут приводить к удлинению интервала </w:t>
      </w:r>
      <w:r w:rsidRPr="00024ACC">
        <w:rPr>
          <w:rFonts w:ascii="Times New Roman" w:hAnsi="Times New Roman"/>
          <w:sz w:val="24"/>
          <w:szCs w:val="24"/>
          <w:lang w:val="en-US"/>
        </w:rPr>
        <w:t>QT</w:t>
      </w:r>
      <w:r w:rsidRPr="00024ACC">
        <w:rPr>
          <w:rFonts w:ascii="Times New Roman" w:hAnsi="Times New Roman"/>
          <w:sz w:val="24"/>
          <w:szCs w:val="24"/>
        </w:rPr>
        <w:t>; при наличии электролитных нарушений, таких как, гипокалиемия, гипокальциемия, гипомагнезиемия. При этом у пациентов следует периодически проводить электрокардиографию и определять уровень электролитов (магний, калий, кальций) крови</w:t>
      </w:r>
      <w:r w:rsidRPr="00024ACC">
        <w:rPr>
          <w:rFonts w:ascii="Times New Roman" w:eastAsia="Times New Roman" w:hAnsi="Times New Roman"/>
          <w:sz w:val="24"/>
          <w:szCs w:val="24"/>
        </w:rPr>
        <w:t>.</w:t>
      </w:r>
    </w:p>
    <w:p w14:paraId="5B579EB8" w14:textId="77777777" w:rsidR="00024ACC" w:rsidRPr="00024ACC" w:rsidRDefault="00024ACC" w:rsidP="00024AC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24ACC">
        <w:rPr>
          <w:rFonts w:ascii="Times New Roman" w:hAnsi="Times New Roman"/>
          <w:i/>
          <w:sz w:val="24"/>
          <w:szCs w:val="24"/>
        </w:rPr>
        <w:t>Прободение желудочно-кишечного тракта (ЖКТ)</w:t>
      </w:r>
    </w:p>
    <w:p w14:paraId="4B70EC3C" w14:textId="77777777" w:rsidR="00024ACC" w:rsidRPr="00024ACC" w:rsidRDefault="00024ACC" w:rsidP="00024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4ACC">
        <w:rPr>
          <w:rFonts w:ascii="Times New Roman" w:hAnsi="Times New Roman"/>
          <w:sz w:val="24"/>
          <w:szCs w:val="24"/>
        </w:rPr>
        <w:t xml:space="preserve">Прободение ЖКТ встречается нечасто и описано менее чем у 1% </w:t>
      </w:r>
      <w:r w:rsidR="00594D05">
        <w:rPr>
          <w:rFonts w:ascii="Times New Roman" w:hAnsi="Times New Roman"/>
          <w:sz w:val="24"/>
          <w:szCs w:val="24"/>
        </w:rPr>
        <w:t>пациентов</w:t>
      </w:r>
      <w:r w:rsidRPr="00024ACC">
        <w:rPr>
          <w:rFonts w:ascii="Times New Roman" w:hAnsi="Times New Roman"/>
          <w:sz w:val="24"/>
          <w:szCs w:val="24"/>
        </w:rPr>
        <w:t xml:space="preserve">, получавших сорафениб. В некоторых случаях эти события не были связаны с </w:t>
      </w:r>
      <w:r w:rsidRPr="00024ACC">
        <w:rPr>
          <w:rFonts w:ascii="Times New Roman" w:hAnsi="Times New Roman"/>
          <w:sz w:val="24"/>
          <w:szCs w:val="24"/>
        </w:rPr>
        <w:lastRenderedPageBreak/>
        <w:t xml:space="preserve">опухолями в брюшной полости. При появлении перфорации в ЖКТ терапию препаратом </w:t>
      </w:r>
      <w:r>
        <w:rPr>
          <w:rFonts w:ascii="Times New Roman" w:hAnsi="Times New Roman"/>
          <w:sz w:val="24"/>
          <w:szCs w:val="24"/>
        </w:rPr>
        <w:t>Ливониб</w:t>
      </w:r>
      <w:r w:rsidRPr="00024ACC">
        <w:rPr>
          <w:rFonts w:ascii="Times New Roman" w:hAnsi="Times New Roman"/>
          <w:sz w:val="24"/>
          <w:szCs w:val="24"/>
        </w:rPr>
        <w:t xml:space="preserve"> следует прекратить (см. раздел 4.8).</w:t>
      </w:r>
    </w:p>
    <w:p w14:paraId="46238925" w14:textId="77777777" w:rsidR="00024ACC" w:rsidRPr="00024ACC" w:rsidRDefault="00024ACC" w:rsidP="00024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024ACC">
        <w:rPr>
          <w:rFonts w:ascii="Times New Roman" w:eastAsia="Times New Roman" w:hAnsi="Times New Roman"/>
          <w:i/>
          <w:sz w:val="24"/>
          <w:szCs w:val="24"/>
        </w:rPr>
        <w:t>Нарушение функции печени</w:t>
      </w:r>
    </w:p>
    <w:p w14:paraId="5C5137FE" w14:textId="77777777" w:rsidR="00024ACC" w:rsidRPr="00024ACC" w:rsidRDefault="00024ACC" w:rsidP="00024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24ACC">
        <w:rPr>
          <w:rFonts w:ascii="Times New Roman" w:eastAsia="Times New Roman" w:hAnsi="Times New Roman"/>
          <w:sz w:val="24"/>
          <w:szCs w:val="24"/>
        </w:rPr>
        <w:t xml:space="preserve">Данные о пациентах с тяжелым нарушением функции печени класса С </w:t>
      </w:r>
      <w:r>
        <w:rPr>
          <w:rFonts w:ascii="Times New Roman" w:eastAsia="Times New Roman" w:hAnsi="Times New Roman"/>
          <w:sz w:val="24"/>
          <w:szCs w:val="24"/>
        </w:rPr>
        <w:t xml:space="preserve">(тяжёлой степени) </w:t>
      </w:r>
      <w:r w:rsidRPr="00024ACC">
        <w:rPr>
          <w:rFonts w:ascii="Times New Roman" w:eastAsia="Times New Roman" w:hAnsi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/>
          <w:sz w:val="24"/>
          <w:szCs w:val="24"/>
        </w:rPr>
        <w:t>шкале</w:t>
      </w:r>
      <w:r w:rsidRPr="00024ACC">
        <w:rPr>
          <w:rFonts w:ascii="Times New Roman" w:eastAsia="Times New Roman" w:hAnsi="Times New Roman"/>
          <w:sz w:val="24"/>
          <w:szCs w:val="24"/>
        </w:rPr>
        <w:t xml:space="preserve"> Чайлд</w:t>
      </w:r>
      <w:r>
        <w:rPr>
          <w:rFonts w:ascii="Times New Roman" w:eastAsia="Times New Roman" w:hAnsi="Times New Roman"/>
          <w:sz w:val="24"/>
          <w:szCs w:val="24"/>
        </w:rPr>
        <w:t>а-</w:t>
      </w:r>
      <w:r w:rsidRPr="00024ACC">
        <w:rPr>
          <w:rFonts w:ascii="Times New Roman" w:eastAsia="Times New Roman" w:hAnsi="Times New Roman"/>
          <w:sz w:val="24"/>
          <w:szCs w:val="24"/>
        </w:rPr>
        <w:t xml:space="preserve">Пью отсутствуют. Поскольку сорафениб выводится из организма преимущественно </w:t>
      </w:r>
      <w:r w:rsidR="006450FB">
        <w:rPr>
          <w:rFonts w:ascii="Times New Roman" w:eastAsia="Times New Roman" w:hAnsi="Times New Roman"/>
          <w:sz w:val="24"/>
          <w:szCs w:val="24"/>
        </w:rPr>
        <w:t>через печень</w:t>
      </w:r>
      <w:r w:rsidRPr="00024ACC">
        <w:rPr>
          <w:rFonts w:ascii="Times New Roman" w:eastAsia="Times New Roman" w:hAnsi="Times New Roman"/>
          <w:sz w:val="24"/>
          <w:szCs w:val="24"/>
        </w:rPr>
        <w:t>, экспозиция</w:t>
      </w:r>
      <w:r w:rsidR="00BA714E">
        <w:rPr>
          <w:rFonts w:ascii="Times New Roman" w:eastAsia="Times New Roman" w:hAnsi="Times New Roman"/>
          <w:sz w:val="24"/>
          <w:szCs w:val="24"/>
        </w:rPr>
        <w:t xml:space="preserve"> препарата</w:t>
      </w:r>
      <w:r w:rsidRPr="00024ACC">
        <w:rPr>
          <w:rFonts w:ascii="Times New Roman" w:eastAsia="Times New Roman" w:hAnsi="Times New Roman"/>
          <w:sz w:val="24"/>
          <w:szCs w:val="24"/>
        </w:rPr>
        <w:t xml:space="preserve"> у пациентов с тяжелыми нарушениями функции печени может быть повышена (см. разделы 4.2 и 5.2).</w:t>
      </w:r>
    </w:p>
    <w:p w14:paraId="32DDE62A" w14:textId="77777777" w:rsidR="00024ACC" w:rsidRPr="00024ACC" w:rsidRDefault="00024ACC" w:rsidP="00024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Совместный прием с в</w:t>
      </w:r>
      <w:r w:rsidRPr="00024ACC">
        <w:rPr>
          <w:rFonts w:ascii="Times New Roman" w:eastAsia="Times New Roman" w:hAnsi="Times New Roman"/>
          <w:i/>
          <w:sz w:val="24"/>
          <w:szCs w:val="24"/>
        </w:rPr>
        <w:t>арфарин</w:t>
      </w:r>
      <w:r>
        <w:rPr>
          <w:rFonts w:ascii="Times New Roman" w:eastAsia="Times New Roman" w:hAnsi="Times New Roman"/>
          <w:i/>
          <w:sz w:val="24"/>
          <w:szCs w:val="24"/>
        </w:rPr>
        <w:t>ом</w:t>
      </w:r>
    </w:p>
    <w:p w14:paraId="05D39966" w14:textId="77777777" w:rsidR="00024ACC" w:rsidRDefault="00024ACC" w:rsidP="00024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24ACC">
        <w:rPr>
          <w:rFonts w:ascii="Times New Roman" w:eastAsia="Times New Roman" w:hAnsi="Times New Roman"/>
          <w:sz w:val="24"/>
          <w:szCs w:val="24"/>
        </w:rPr>
        <w:t xml:space="preserve">При совместном назначении варфарина и </w:t>
      </w:r>
      <w:r>
        <w:rPr>
          <w:rFonts w:ascii="Times New Roman" w:eastAsia="Times New Roman" w:hAnsi="Times New Roman"/>
          <w:sz w:val="24"/>
          <w:szCs w:val="24"/>
        </w:rPr>
        <w:t>сорафениба</w:t>
      </w:r>
      <w:r w:rsidR="006450FB">
        <w:rPr>
          <w:rFonts w:ascii="Times New Roman" w:eastAsia="Times New Roman" w:hAnsi="Times New Roman"/>
          <w:sz w:val="24"/>
          <w:szCs w:val="24"/>
        </w:rPr>
        <w:t>,</w:t>
      </w:r>
      <w:r w:rsidRPr="00024ACC">
        <w:rPr>
          <w:rFonts w:ascii="Times New Roman" w:eastAsia="Times New Roman" w:hAnsi="Times New Roman"/>
          <w:sz w:val="24"/>
          <w:szCs w:val="24"/>
        </w:rPr>
        <w:t xml:space="preserve"> у некоторых пациентов отмечались нечастые эпизоды кровот</w:t>
      </w:r>
      <w:r w:rsidR="006450FB">
        <w:rPr>
          <w:rFonts w:ascii="Times New Roman" w:eastAsia="Times New Roman" w:hAnsi="Times New Roman"/>
          <w:sz w:val="24"/>
          <w:szCs w:val="24"/>
        </w:rPr>
        <w:t xml:space="preserve">ечения </w:t>
      </w:r>
      <w:r w:rsidRPr="00024ACC">
        <w:rPr>
          <w:rFonts w:ascii="Times New Roman" w:eastAsia="Times New Roman" w:hAnsi="Times New Roman"/>
          <w:sz w:val="24"/>
          <w:szCs w:val="24"/>
        </w:rPr>
        <w:t>или повышение показателя МНО. При совместном назначении варфарина или фенпрокумона и сорафениба необходим регулярн</w:t>
      </w:r>
      <w:r w:rsidR="008231B2">
        <w:rPr>
          <w:rFonts w:ascii="Times New Roman" w:eastAsia="Times New Roman" w:hAnsi="Times New Roman"/>
          <w:sz w:val="24"/>
          <w:szCs w:val="24"/>
        </w:rPr>
        <w:t>ый</w:t>
      </w:r>
      <w:r w:rsidRPr="00024ACC">
        <w:rPr>
          <w:rFonts w:ascii="Times New Roman" w:eastAsia="Times New Roman" w:hAnsi="Times New Roman"/>
          <w:sz w:val="24"/>
          <w:szCs w:val="24"/>
        </w:rPr>
        <w:t xml:space="preserve"> </w:t>
      </w:r>
      <w:r w:rsidR="008231B2">
        <w:rPr>
          <w:rFonts w:ascii="Times New Roman" w:eastAsia="Times New Roman" w:hAnsi="Times New Roman"/>
          <w:sz w:val="24"/>
          <w:szCs w:val="24"/>
        </w:rPr>
        <w:t>мониторинг</w:t>
      </w:r>
      <w:r w:rsidRPr="00024ACC">
        <w:rPr>
          <w:rFonts w:ascii="Times New Roman" w:eastAsia="Times New Roman" w:hAnsi="Times New Roman"/>
          <w:sz w:val="24"/>
          <w:szCs w:val="24"/>
        </w:rPr>
        <w:t xml:space="preserve"> показателей протромбинового времени, МНО, клинических признаков кровот</w:t>
      </w:r>
      <w:r w:rsidR="00210648">
        <w:rPr>
          <w:rFonts w:ascii="Times New Roman" w:eastAsia="Times New Roman" w:hAnsi="Times New Roman"/>
          <w:sz w:val="24"/>
          <w:szCs w:val="24"/>
        </w:rPr>
        <w:t>ечения</w:t>
      </w:r>
      <w:r w:rsidRPr="00024ACC">
        <w:rPr>
          <w:rFonts w:ascii="Times New Roman" w:eastAsia="Times New Roman" w:hAnsi="Times New Roman"/>
          <w:sz w:val="24"/>
          <w:szCs w:val="24"/>
        </w:rPr>
        <w:t xml:space="preserve"> (см. разделы 4.5 и 4.8).</w:t>
      </w:r>
    </w:p>
    <w:p w14:paraId="21B0A41D" w14:textId="77777777" w:rsidR="00024ACC" w:rsidRPr="00024ACC" w:rsidRDefault="00024ACC" w:rsidP="00024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024ACC">
        <w:rPr>
          <w:rFonts w:ascii="Times New Roman" w:eastAsia="Times New Roman" w:hAnsi="Times New Roman"/>
          <w:i/>
          <w:sz w:val="24"/>
          <w:szCs w:val="24"/>
        </w:rPr>
        <w:t>Заживление ран</w:t>
      </w:r>
    </w:p>
    <w:p w14:paraId="1094C002" w14:textId="77777777" w:rsidR="00024ACC" w:rsidRDefault="00024ACC" w:rsidP="00024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24ACC">
        <w:rPr>
          <w:rFonts w:ascii="Times New Roman" w:eastAsia="Times New Roman" w:hAnsi="Times New Roman"/>
          <w:sz w:val="24"/>
          <w:szCs w:val="24"/>
        </w:rPr>
        <w:t>Формальных исследований влияния сорафениба на заживление ран не проводилось. В случае проведения обширных хирургических вмешательств</w:t>
      </w:r>
      <w:r w:rsidR="00B95458">
        <w:rPr>
          <w:rFonts w:ascii="Times New Roman" w:eastAsia="Times New Roman" w:hAnsi="Times New Roman"/>
          <w:sz w:val="24"/>
          <w:szCs w:val="24"/>
        </w:rPr>
        <w:t>,</w:t>
      </w:r>
      <w:r w:rsidRPr="00024ACC">
        <w:rPr>
          <w:rFonts w:ascii="Times New Roman" w:eastAsia="Times New Roman" w:hAnsi="Times New Roman"/>
          <w:sz w:val="24"/>
          <w:szCs w:val="24"/>
        </w:rPr>
        <w:t xml:space="preserve"> рекомендуется временное прекращение терапии препаратом </w:t>
      </w:r>
      <w:r>
        <w:rPr>
          <w:rFonts w:ascii="Times New Roman" w:eastAsia="Times New Roman" w:hAnsi="Times New Roman"/>
          <w:sz w:val="24"/>
          <w:szCs w:val="24"/>
        </w:rPr>
        <w:t>Ливониб</w:t>
      </w:r>
      <w:r w:rsidRPr="00024ACC">
        <w:rPr>
          <w:rFonts w:ascii="Times New Roman" w:eastAsia="Times New Roman" w:hAnsi="Times New Roman"/>
          <w:sz w:val="24"/>
          <w:szCs w:val="24"/>
        </w:rPr>
        <w:t xml:space="preserve"> с </w:t>
      </w:r>
      <w:r>
        <w:rPr>
          <w:rFonts w:ascii="Times New Roman" w:eastAsia="Times New Roman" w:hAnsi="Times New Roman"/>
          <w:sz w:val="24"/>
          <w:szCs w:val="24"/>
        </w:rPr>
        <w:t>целью</w:t>
      </w:r>
      <w:r w:rsidRPr="00024ACC">
        <w:rPr>
          <w:rFonts w:ascii="Times New Roman" w:eastAsia="Times New Roman" w:hAnsi="Times New Roman"/>
          <w:sz w:val="24"/>
          <w:szCs w:val="24"/>
        </w:rPr>
        <w:t xml:space="preserve"> предосторожности. Клинический опыт касательно времени повторного начала лечения сорафенибом после обширного хирургического вмешательства ограничен. В этой связи решение о возобновлении терапии препаратом после обширных хирургических вмешательств должно основываться на клинической оценке адекватности заживления ран.</w:t>
      </w:r>
    </w:p>
    <w:p w14:paraId="3596CD8A" w14:textId="77777777" w:rsidR="00024ACC" w:rsidRPr="00024ACC" w:rsidRDefault="00024ACC" w:rsidP="00024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Пациенты пожилого возраста</w:t>
      </w:r>
    </w:p>
    <w:p w14:paraId="7558058A" w14:textId="77777777" w:rsidR="00024ACC" w:rsidRDefault="00024ACC" w:rsidP="00024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24ACC">
        <w:rPr>
          <w:rFonts w:ascii="Times New Roman" w:eastAsia="Times New Roman" w:hAnsi="Times New Roman"/>
          <w:sz w:val="24"/>
          <w:szCs w:val="24"/>
        </w:rPr>
        <w:t xml:space="preserve">Сообщалось о случаях почечной недостаточности. У данных пациентов следует рассмотреть </w:t>
      </w:r>
      <w:r w:rsidR="00131A3E">
        <w:rPr>
          <w:rFonts w:ascii="Times New Roman" w:eastAsia="Times New Roman" w:hAnsi="Times New Roman"/>
          <w:sz w:val="24"/>
          <w:szCs w:val="24"/>
        </w:rPr>
        <w:t xml:space="preserve">вопрос о </w:t>
      </w:r>
      <w:r w:rsidRPr="00024ACC">
        <w:rPr>
          <w:rFonts w:ascii="Times New Roman" w:eastAsia="Times New Roman" w:hAnsi="Times New Roman"/>
          <w:sz w:val="24"/>
          <w:szCs w:val="24"/>
        </w:rPr>
        <w:t>необходимост</w:t>
      </w:r>
      <w:r w:rsidR="00131A3E">
        <w:rPr>
          <w:rFonts w:ascii="Times New Roman" w:eastAsia="Times New Roman" w:hAnsi="Times New Roman"/>
          <w:sz w:val="24"/>
          <w:szCs w:val="24"/>
        </w:rPr>
        <w:t>и</w:t>
      </w:r>
      <w:r w:rsidRPr="00024ACC">
        <w:rPr>
          <w:rFonts w:ascii="Times New Roman" w:eastAsia="Times New Roman" w:hAnsi="Times New Roman"/>
          <w:sz w:val="24"/>
          <w:szCs w:val="24"/>
        </w:rPr>
        <w:t xml:space="preserve"> проведения мониторинга почечной функции.</w:t>
      </w:r>
    </w:p>
    <w:p w14:paraId="4CD97A3D" w14:textId="77777777" w:rsidR="006D7C4C" w:rsidRPr="006D7C4C" w:rsidRDefault="006D7C4C" w:rsidP="006D7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6D7C4C">
        <w:rPr>
          <w:rFonts w:ascii="Times New Roman" w:eastAsia="Times New Roman" w:hAnsi="Times New Roman"/>
          <w:i/>
          <w:iCs/>
          <w:sz w:val="24"/>
          <w:szCs w:val="24"/>
        </w:rPr>
        <w:t>Лекарственные взаимодействия</w:t>
      </w:r>
    </w:p>
    <w:p w14:paraId="4E3360C8" w14:textId="77777777" w:rsidR="006D7C4C" w:rsidRPr="006D7C4C" w:rsidRDefault="006D7C4C" w:rsidP="006D7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7C4C">
        <w:rPr>
          <w:rFonts w:ascii="Times New Roman" w:eastAsia="Times New Roman" w:hAnsi="Times New Roman"/>
          <w:sz w:val="24"/>
          <w:szCs w:val="24"/>
        </w:rPr>
        <w:t xml:space="preserve">При одновременном назначении препарата </w:t>
      </w:r>
      <w:r>
        <w:rPr>
          <w:rFonts w:ascii="Times New Roman" w:eastAsia="Times New Roman" w:hAnsi="Times New Roman"/>
          <w:sz w:val="24"/>
          <w:szCs w:val="24"/>
        </w:rPr>
        <w:t>Ливониб</w:t>
      </w:r>
      <w:r w:rsidRPr="006D7C4C">
        <w:rPr>
          <w:rFonts w:ascii="Times New Roman" w:eastAsia="Times New Roman" w:hAnsi="Times New Roman"/>
          <w:sz w:val="24"/>
          <w:szCs w:val="24"/>
        </w:rPr>
        <w:t xml:space="preserve"> вместе с препаратами, которые преимущественно метаболизируются/выводятся с участием </w:t>
      </w:r>
      <w:r w:rsidRPr="006D7C4C">
        <w:rPr>
          <w:rFonts w:ascii="Times New Roman" w:eastAsia="Times New Roman" w:hAnsi="Times New Roman"/>
          <w:sz w:val="24"/>
          <w:szCs w:val="24"/>
          <w:lang w:val="en-US"/>
        </w:rPr>
        <w:t>UGT</w:t>
      </w:r>
      <w:r w:rsidRPr="006D7C4C">
        <w:rPr>
          <w:rFonts w:ascii="Times New Roman" w:eastAsia="Times New Roman" w:hAnsi="Times New Roman"/>
          <w:sz w:val="24"/>
          <w:szCs w:val="24"/>
        </w:rPr>
        <w:t>1</w:t>
      </w:r>
      <w:r w:rsidRPr="006D7C4C"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Pr="006D7C4C">
        <w:rPr>
          <w:rFonts w:ascii="Times New Roman" w:eastAsia="Times New Roman" w:hAnsi="Times New Roman"/>
          <w:sz w:val="24"/>
          <w:szCs w:val="24"/>
        </w:rPr>
        <w:t xml:space="preserve">1 (например, иринотекан) или </w:t>
      </w:r>
      <w:r w:rsidRPr="006D7C4C">
        <w:rPr>
          <w:rFonts w:ascii="Times New Roman" w:eastAsia="Times New Roman" w:hAnsi="Times New Roman"/>
          <w:sz w:val="24"/>
          <w:szCs w:val="24"/>
          <w:lang w:val="en-US"/>
        </w:rPr>
        <w:t>UGT</w:t>
      </w:r>
      <w:r w:rsidRPr="006D7C4C">
        <w:rPr>
          <w:rFonts w:ascii="Times New Roman" w:eastAsia="Times New Roman" w:hAnsi="Times New Roman"/>
          <w:sz w:val="24"/>
          <w:szCs w:val="24"/>
        </w:rPr>
        <w:t>1</w:t>
      </w:r>
      <w:r w:rsidRPr="006D7C4C"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Pr="006D7C4C">
        <w:rPr>
          <w:rFonts w:ascii="Times New Roman" w:eastAsia="Times New Roman" w:hAnsi="Times New Roman"/>
          <w:sz w:val="24"/>
          <w:szCs w:val="24"/>
        </w:rPr>
        <w:t xml:space="preserve">9 следует соблюдать осторожность (см. раздел 4.5). </w:t>
      </w:r>
    </w:p>
    <w:p w14:paraId="2414C4B4" w14:textId="77777777" w:rsidR="006D7C4C" w:rsidRPr="006D7C4C" w:rsidRDefault="006D7C4C" w:rsidP="006D7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7C4C">
        <w:rPr>
          <w:rFonts w:ascii="Times New Roman" w:eastAsia="Times New Roman" w:hAnsi="Times New Roman"/>
          <w:sz w:val="24"/>
          <w:szCs w:val="24"/>
        </w:rPr>
        <w:t>Следует соблюдать осторожность при одновременном назначении сорафениба и доцетаксела (см. раздел 4.5).</w:t>
      </w:r>
    </w:p>
    <w:p w14:paraId="4BCB0462" w14:textId="77777777" w:rsidR="006D7C4C" w:rsidRPr="006D7C4C" w:rsidRDefault="006D7C4C" w:rsidP="006D7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7C4C">
        <w:rPr>
          <w:rFonts w:ascii="Times New Roman" w:eastAsia="Times New Roman" w:hAnsi="Times New Roman"/>
          <w:sz w:val="24"/>
          <w:szCs w:val="24"/>
        </w:rPr>
        <w:t>Одновременное применение неомицина или других антибиотиков, которые в значительной степени вызывают нарушени</w:t>
      </w:r>
      <w:r w:rsidR="00337382">
        <w:rPr>
          <w:rFonts w:ascii="Times New Roman" w:eastAsia="Times New Roman" w:hAnsi="Times New Roman"/>
          <w:sz w:val="24"/>
          <w:szCs w:val="24"/>
        </w:rPr>
        <w:t xml:space="preserve">е </w:t>
      </w:r>
      <w:r w:rsidRPr="006D7C4C">
        <w:rPr>
          <w:rFonts w:ascii="Times New Roman" w:eastAsia="Times New Roman" w:hAnsi="Times New Roman"/>
          <w:sz w:val="24"/>
          <w:szCs w:val="24"/>
        </w:rPr>
        <w:t>микрофлор</w:t>
      </w:r>
      <w:r w:rsidR="00337382">
        <w:rPr>
          <w:rFonts w:ascii="Times New Roman" w:eastAsia="Times New Roman" w:hAnsi="Times New Roman"/>
          <w:sz w:val="24"/>
          <w:szCs w:val="24"/>
        </w:rPr>
        <w:t>ы</w:t>
      </w:r>
      <w:r w:rsidRPr="006D7C4C">
        <w:rPr>
          <w:rFonts w:ascii="Times New Roman" w:eastAsia="Times New Roman" w:hAnsi="Times New Roman"/>
          <w:sz w:val="24"/>
          <w:szCs w:val="24"/>
        </w:rPr>
        <w:t xml:space="preserve"> желудочно-кишечного тракта, может привести к снижению биодоступности сорафениба (см. раздел 4.5). Перед началом курса лечения антибиотиками следует принять во внимание риск снижения концентрации сорафениба в плазме крови. </w:t>
      </w:r>
    </w:p>
    <w:p w14:paraId="4673F905" w14:textId="77777777" w:rsidR="006D7C4C" w:rsidRPr="006D7C4C" w:rsidRDefault="006D7C4C" w:rsidP="006D7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7C4C">
        <w:rPr>
          <w:rFonts w:ascii="Times New Roman" w:eastAsia="Times New Roman" w:hAnsi="Times New Roman"/>
          <w:sz w:val="24"/>
          <w:szCs w:val="24"/>
        </w:rPr>
        <w:t>В двух рандомизированных плацебо-контролируемых исследованиях при сравнении безопасности и эффективности применения в качестве первой линии двухкомпонентной химиотерапии на основе препаратов платины (карбоплатин/паклитаксел и отдельно гемцитабин/цисплатин) в комбинации с сорафенибом или без него у пациентов с поздней стадией немелкоклеточного рака легких (НМРЛ) не удалось получить данны</w:t>
      </w:r>
      <w:r w:rsidR="0065209E">
        <w:rPr>
          <w:rFonts w:ascii="Times New Roman" w:eastAsia="Times New Roman" w:hAnsi="Times New Roman"/>
          <w:sz w:val="24"/>
          <w:szCs w:val="24"/>
        </w:rPr>
        <w:t>х</w:t>
      </w:r>
      <w:r w:rsidRPr="006D7C4C">
        <w:rPr>
          <w:rFonts w:ascii="Times New Roman" w:eastAsia="Times New Roman" w:hAnsi="Times New Roman"/>
          <w:sz w:val="24"/>
          <w:szCs w:val="24"/>
        </w:rPr>
        <w:t xml:space="preserve"> по улучшению общей выживаемости. Данные по безопасности, в целом, соответствовали ранее описанным результатам. Однако, в обоих исследованиях в группе пациентов с плоскоклеточным раком легкого, получавших  двухкомпонентную химиотерапию на основе препаратов платины в комбинации с сорафенибом, была отмечена более высокая смертность по сравнению с группой пациентов, получавших только двухкомпонентную химиотерапию на основе препаратов платины (паклитаксел/карбоплатин: </w:t>
      </w:r>
      <w:r w:rsidR="0065209E">
        <w:rPr>
          <w:rFonts w:ascii="Times New Roman" w:eastAsia="Times New Roman" w:hAnsi="Times New Roman"/>
          <w:sz w:val="24"/>
          <w:szCs w:val="24"/>
        </w:rPr>
        <w:t>коэффициент риска</w:t>
      </w:r>
      <w:r w:rsidRPr="006D7C4C">
        <w:rPr>
          <w:rFonts w:ascii="Times New Roman" w:eastAsia="Times New Roman" w:hAnsi="Times New Roman"/>
          <w:sz w:val="24"/>
          <w:szCs w:val="24"/>
        </w:rPr>
        <w:t xml:space="preserve"> 1,81, 95%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D7C4C">
        <w:rPr>
          <w:rFonts w:ascii="Times New Roman" w:eastAsia="Times New Roman" w:hAnsi="Times New Roman"/>
          <w:sz w:val="24"/>
          <w:szCs w:val="24"/>
        </w:rPr>
        <w:t>доверительный интервал 1,19</w:t>
      </w:r>
      <w:r>
        <w:rPr>
          <w:rFonts w:ascii="Times New Roman" w:eastAsia="Times New Roman" w:hAnsi="Times New Roman"/>
          <w:sz w:val="24"/>
          <w:szCs w:val="24"/>
        </w:rPr>
        <w:t xml:space="preserve">; </w:t>
      </w:r>
      <w:r w:rsidRPr="006D7C4C">
        <w:rPr>
          <w:rFonts w:ascii="Times New Roman" w:eastAsia="Times New Roman" w:hAnsi="Times New Roman"/>
          <w:sz w:val="24"/>
          <w:szCs w:val="24"/>
        </w:rPr>
        <w:t>2,74</w:t>
      </w:r>
      <w:r>
        <w:rPr>
          <w:rFonts w:ascii="Times New Roman" w:eastAsia="Times New Roman" w:hAnsi="Times New Roman"/>
          <w:sz w:val="24"/>
          <w:szCs w:val="24"/>
        </w:rPr>
        <w:t>),</w:t>
      </w:r>
      <w:r w:rsidRPr="006D7C4C">
        <w:rPr>
          <w:rFonts w:ascii="Times New Roman" w:eastAsia="Times New Roman" w:hAnsi="Times New Roman"/>
          <w:sz w:val="24"/>
          <w:szCs w:val="24"/>
        </w:rPr>
        <w:t xml:space="preserve"> гемцитабин/цисплатин: </w:t>
      </w:r>
      <w:r w:rsidR="0065209E">
        <w:rPr>
          <w:rFonts w:ascii="Times New Roman" w:eastAsia="Times New Roman" w:hAnsi="Times New Roman"/>
          <w:sz w:val="24"/>
          <w:szCs w:val="24"/>
        </w:rPr>
        <w:t>коэффициент риска</w:t>
      </w:r>
      <w:r w:rsidR="0065209E" w:rsidRPr="006D7C4C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7C4C">
        <w:rPr>
          <w:rFonts w:ascii="Times New Roman" w:eastAsia="Times New Roman" w:hAnsi="Times New Roman"/>
          <w:sz w:val="24"/>
          <w:szCs w:val="24"/>
        </w:rPr>
        <w:t>1,22, 95%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D7C4C">
        <w:rPr>
          <w:rFonts w:ascii="Times New Roman" w:eastAsia="Times New Roman" w:hAnsi="Times New Roman"/>
          <w:sz w:val="24"/>
          <w:szCs w:val="24"/>
        </w:rPr>
        <w:t>доверительный интервал 0,82</w:t>
      </w:r>
      <w:r>
        <w:rPr>
          <w:rFonts w:ascii="Times New Roman" w:eastAsia="Times New Roman" w:hAnsi="Times New Roman"/>
          <w:sz w:val="24"/>
          <w:szCs w:val="24"/>
        </w:rPr>
        <w:t xml:space="preserve">; </w:t>
      </w:r>
      <w:r w:rsidRPr="006D7C4C">
        <w:rPr>
          <w:rFonts w:ascii="Times New Roman" w:eastAsia="Times New Roman" w:hAnsi="Times New Roman"/>
          <w:sz w:val="24"/>
          <w:szCs w:val="24"/>
        </w:rPr>
        <w:t>1,80). Определяющей причины этого явления</w:t>
      </w:r>
      <w:r w:rsidR="004B3CF8">
        <w:rPr>
          <w:rFonts w:ascii="Times New Roman" w:eastAsia="Times New Roman" w:hAnsi="Times New Roman"/>
          <w:sz w:val="24"/>
          <w:szCs w:val="24"/>
        </w:rPr>
        <w:t xml:space="preserve"> не</w:t>
      </w:r>
      <w:r w:rsidRPr="006D7C4C">
        <w:rPr>
          <w:rFonts w:ascii="Times New Roman" w:eastAsia="Times New Roman" w:hAnsi="Times New Roman"/>
          <w:sz w:val="24"/>
          <w:szCs w:val="24"/>
        </w:rPr>
        <w:t xml:space="preserve"> выявлено</w:t>
      </w:r>
      <w:r w:rsidR="004B3CF8">
        <w:rPr>
          <w:rFonts w:ascii="Times New Roman" w:eastAsia="Times New Roman" w:hAnsi="Times New Roman"/>
          <w:sz w:val="24"/>
          <w:szCs w:val="24"/>
        </w:rPr>
        <w:t>.</w:t>
      </w:r>
    </w:p>
    <w:p w14:paraId="6A25115A" w14:textId="77777777" w:rsidR="00817E71" w:rsidRPr="00337382" w:rsidRDefault="00817E71" w:rsidP="00817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817E71">
        <w:rPr>
          <w:rFonts w:ascii="Times New Roman" w:eastAsia="Times New Roman" w:hAnsi="Times New Roman"/>
          <w:i/>
          <w:iCs/>
          <w:sz w:val="24"/>
          <w:szCs w:val="24"/>
        </w:rPr>
        <w:t xml:space="preserve">Предупреждения </w:t>
      </w:r>
      <w:r w:rsidR="00E75C7F">
        <w:rPr>
          <w:rFonts w:ascii="Times New Roman" w:eastAsia="Times New Roman" w:hAnsi="Times New Roman"/>
          <w:i/>
          <w:iCs/>
          <w:sz w:val="24"/>
          <w:szCs w:val="24"/>
        </w:rPr>
        <w:t>о</w:t>
      </w:r>
      <w:r w:rsidRPr="00817E71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E75C7F">
        <w:rPr>
          <w:rFonts w:ascii="Times New Roman" w:eastAsia="Times New Roman" w:hAnsi="Times New Roman"/>
          <w:i/>
          <w:iCs/>
          <w:sz w:val="24"/>
          <w:szCs w:val="24"/>
        </w:rPr>
        <w:t>конкретных</w:t>
      </w:r>
      <w:r w:rsidRPr="00817E71">
        <w:rPr>
          <w:rFonts w:ascii="Times New Roman" w:eastAsia="Times New Roman" w:hAnsi="Times New Roman"/>
          <w:i/>
          <w:iCs/>
          <w:sz w:val="24"/>
          <w:szCs w:val="24"/>
        </w:rPr>
        <w:t xml:space="preserve"> заболевания</w:t>
      </w:r>
      <w:r w:rsidR="00E75C7F">
        <w:rPr>
          <w:rFonts w:ascii="Times New Roman" w:eastAsia="Times New Roman" w:hAnsi="Times New Roman"/>
          <w:i/>
          <w:iCs/>
          <w:sz w:val="24"/>
          <w:szCs w:val="24"/>
        </w:rPr>
        <w:t>х</w:t>
      </w:r>
    </w:p>
    <w:p w14:paraId="2B17900D" w14:textId="77777777" w:rsidR="00817E71" w:rsidRPr="00817E71" w:rsidRDefault="00817E71" w:rsidP="00817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17E71">
        <w:rPr>
          <w:rFonts w:ascii="Times New Roman" w:eastAsia="Times New Roman" w:hAnsi="Times New Roman"/>
          <w:i/>
          <w:sz w:val="24"/>
          <w:szCs w:val="24"/>
        </w:rPr>
        <w:t>Дифференцированный рак щитовидной железы</w:t>
      </w:r>
    </w:p>
    <w:p w14:paraId="41FDFAD8" w14:textId="77777777" w:rsidR="00817E71" w:rsidRPr="00817E71" w:rsidRDefault="00817E71" w:rsidP="00817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E71">
        <w:rPr>
          <w:rFonts w:ascii="Times New Roman" w:eastAsia="Times New Roman" w:hAnsi="Times New Roman"/>
          <w:sz w:val="24"/>
          <w:szCs w:val="24"/>
        </w:rPr>
        <w:lastRenderedPageBreak/>
        <w:t xml:space="preserve">Перед началом </w:t>
      </w:r>
      <w:r w:rsidR="00116AD1">
        <w:rPr>
          <w:rFonts w:ascii="Times New Roman" w:eastAsia="Times New Roman" w:hAnsi="Times New Roman"/>
          <w:sz w:val="24"/>
          <w:szCs w:val="24"/>
        </w:rPr>
        <w:t>терапии</w:t>
      </w:r>
      <w:r w:rsidRPr="00817E71">
        <w:rPr>
          <w:rFonts w:ascii="Times New Roman" w:eastAsia="Times New Roman" w:hAnsi="Times New Roman"/>
          <w:sz w:val="24"/>
          <w:szCs w:val="24"/>
        </w:rPr>
        <w:t xml:space="preserve"> врачу рекомендуется тщательно оценить прогноз заболевания у каждого отдельного пациента с учетом максимального размера поражения (см. раздел 5.1), симптомов, связанных с заболеванием (см. раздел 5.1) и скорости прогрессирования.</w:t>
      </w:r>
    </w:p>
    <w:p w14:paraId="478D0C2E" w14:textId="77777777" w:rsidR="00817E71" w:rsidRPr="00817E71" w:rsidRDefault="00817E71" w:rsidP="00817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E71">
        <w:rPr>
          <w:rFonts w:ascii="Times New Roman" w:eastAsia="Times New Roman" w:hAnsi="Times New Roman"/>
          <w:sz w:val="24"/>
          <w:szCs w:val="24"/>
        </w:rPr>
        <w:t xml:space="preserve">Лечение подозреваемых побочных реакций может потребовать временной отмены или снижения дозы </w:t>
      </w:r>
      <w:r>
        <w:rPr>
          <w:rFonts w:ascii="Times New Roman" w:eastAsia="Times New Roman" w:hAnsi="Times New Roman"/>
          <w:sz w:val="24"/>
          <w:szCs w:val="24"/>
        </w:rPr>
        <w:t>препарата Ливониб</w:t>
      </w:r>
      <w:r w:rsidRPr="00817E71">
        <w:rPr>
          <w:rFonts w:ascii="Times New Roman" w:eastAsia="Times New Roman" w:hAnsi="Times New Roman"/>
          <w:sz w:val="24"/>
          <w:szCs w:val="24"/>
        </w:rPr>
        <w:t>. В исследовании 5 (см. раздел 5.1), у 37% пациентов потребовал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817E71">
        <w:rPr>
          <w:rFonts w:ascii="Times New Roman" w:eastAsia="Times New Roman" w:hAnsi="Times New Roman"/>
          <w:sz w:val="24"/>
          <w:szCs w:val="24"/>
        </w:rPr>
        <w:t xml:space="preserve">сь отмена лечения и у 35% снижение дозы препарата уже на 1 цикле лечения </w:t>
      </w:r>
      <w:r>
        <w:rPr>
          <w:rFonts w:ascii="Times New Roman" w:eastAsia="Times New Roman" w:hAnsi="Times New Roman"/>
          <w:sz w:val="24"/>
          <w:szCs w:val="24"/>
        </w:rPr>
        <w:t>сорафенибом</w:t>
      </w:r>
      <w:r w:rsidRPr="00817E71">
        <w:rPr>
          <w:rFonts w:ascii="Times New Roman" w:eastAsia="Times New Roman" w:hAnsi="Times New Roman"/>
          <w:sz w:val="24"/>
          <w:szCs w:val="24"/>
        </w:rPr>
        <w:t xml:space="preserve">.  </w:t>
      </w:r>
    </w:p>
    <w:p w14:paraId="09192724" w14:textId="77777777" w:rsidR="00817E71" w:rsidRDefault="00817E71" w:rsidP="00817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E71">
        <w:rPr>
          <w:rFonts w:ascii="Times New Roman" w:eastAsia="Times New Roman" w:hAnsi="Times New Roman"/>
          <w:sz w:val="24"/>
          <w:szCs w:val="24"/>
        </w:rPr>
        <w:t>Снижение дозы препарата только частично смягчало проявлени</w:t>
      </w:r>
      <w:r w:rsidR="00091CE9">
        <w:rPr>
          <w:rFonts w:ascii="Times New Roman" w:eastAsia="Times New Roman" w:hAnsi="Times New Roman"/>
          <w:sz w:val="24"/>
          <w:szCs w:val="24"/>
        </w:rPr>
        <w:t>е</w:t>
      </w:r>
      <w:r w:rsidRPr="00817E71">
        <w:rPr>
          <w:rFonts w:ascii="Times New Roman" w:eastAsia="Times New Roman" w:hAnsi="Times New Roman"/>
          <w:sz w:val="24"/>
          <w:szCs w:val="24"/>
        </w:rPr>
        <w:t xml:space="preserve"> побочных реакций. Следовательно, рекомендуется проводить повторную оценку соотношения </w:t>
      </w:r>
      <w:r>
        <w:rPr>
          <w:rFonts w:ascii="Times New Roman" w:eastAsia="Times New Roman" w:hAnsi="Times New Roman"/>
          <w:sz w:val="24"/>
          <w:szCs w:val="24"/>
        </w:rPr>
        <w:t>пользы/риска</w:t>
      </w:r>
      <w:r w:rsidRPr="00817E71">
        <w:rPr>
          <w:rFonts w:ascii="Times New Roman" w:eastAsia="Times New Roman" w:hAnsi="Times New Roman"/>
          <w:sz w:val="24"/>
          <w:szCs w:val="24"/>
        </w:rPr>
        <w:t xml:space="preserve"> с учетом противоопухолевой активности и переносимости. </w:t>
      </w:r>
    </w:p>
    <w:p w14:paraId="24FF4F2B" w14:textId="77777777" w:rsidR="00817E71" w:rsidRPr="00817E71" w:rsidRDefault="00817E71" w:rsidP="00817E71">
      <w:pPr>
        <w:suppressAutoHyphens/>
        <w:spacing w:after="0" w:line="240" w:lineRule="auto"/>
        <w:contextualSpacing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17E71">
        <w:rPr>
          <w:rFonts w:ascii="Times New Roman" w:hAnsi="Times New Roman"/>
          <w:i/>
          <w:snapToGrid w:val="0"/>
          <w:sz w:val="24"/>
          <w:szCs w:val="24"/>
        </w:rPr>
        <w:t>Кровотечения при дифференцированном раке щитовидной железы</w:t>
      </w:r>
    </w:p>
    <w:p w14:paraId="718CFC36" w14:textId="77777777" w:rsidR="00817E71" w:rsidRPr="00817E71" w:rsidRDefault="00817E71" w:rsidP="00817E71">
      <w:pPr>
        <w:suppressAutoHyphens/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817E71">
        <w:rPr>
          <w:rFonts w:ascii="Times New Roman" w:hAnsi="Times New Roman"/>
          <w:snapToGrid w:val="0"/>
          <w:sz w:val="24"/>
          <w:szCs w:val="24"/>
        </w:rPr>
        <w:t xml:space="preserve">Учитывая потенциальный риск кровотечения, у пациентов с дифференцированным раком щитовидной железы перед назначением препарата </w:t>
      </w:r>
      <w:r>
        <w:rPr>
          <w:rFonts w:ascii="Times New Roman" w:hAnsi="Times New Roman"/>
          <w:snapToGrid w:val="0"/>
          <w:sz w:val="24"/>
          <w:szCs w:val="24"/>
        </w:rPr>
        <w:t>Ливониб</w:t>
      </w:r>
      <w:r w:rsidRPr="00817E7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17E71">
        <w:rPr>
          <w:rFonts w:ascii="Times New Roman" w:hAnsi="Times New Roman"/>
          <w:snapToGrid w:val="0"/>
          <w:sz w:val="24"/>
          <w:szCs w:val="24"/>
        </w:rPr>
        <w:t>следует провести местное лечение опухолевых инфильтратов трахеи, бронхов и пищевода.</w:t>
      </w:r>
    </w:p>
    <w:p w14:paraId="48B48A6B" w14:textId="77777777" w:rsidR="00817E71" w:rsidRPr="00817E71" w:rsidRDefault="00817E71" w:rsidP="00817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817E71">
        <w:rPr>
          <w:rFonts w:ascii="Times New Roman" w:eastAsia="Times New Roman" w:hAnsi="Times New Roman"/>
          <w:i/>
          <w:iCs/>
          <w:sz w:val="24"/>
          <w:szCs w:val="24"/>
        </w:rPr>
        <w:t>Гипокальцемия при дифференцированном раке щитовидной железы</w:t>
      </w:r>
    </w:p>
    <w:p w14:paraId="512F0CCD" w14:textId="77777777" w:rsidR="00817E71" w:rsidRPr="00817E71" w:rsidRDefault="00817E71" w:rsidP="00817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E71">
        <w:rPr>
          <w:rFonts w:ascii="Times New Roman" w:eastAsia="Times New Roman" w:hAnsi="Times New Roman"/>
          <w:sz w:val="24"/>
          <w:szCs w:val="24"/>
        </w:rPr>
        <w:t xml:space="preserve">При применении препарата </w:t>
      </w:r>
      <w:r>
        <w:rPr>
          <w:rFonts w:ascii="Times New Roman" w:eastAsia="Times New Roman" w:hAnsi="Times New Roman"/>
          <w:sz w:val="24"/>
          <w:szCs w:val="24"/>
        </w:rPr>
        <w:t>Ливониб</w:t>
      </w:r>
      <w:r w:rsidRPr="00817E71">
        <w:rPr>
          <w:rFonts w:ascii="Times New Roman" w:eastAsia="Times New Roman" w:hAnsi="Times New Roman"/>
          <w:sz w:val="24"/>
          <w:szCs w:val="24"/>
        </w:rPr>
        <w:t xml:space="preserve"> у пациентов с дифференцированным раком щитовидной железы рекомендуется контролировать уровень кальция в крови. В клинических исследованиях у пациентов с дифференцированным раком щитовидной железы, особенно имеющих гипопаратиреоз в анамнезе, отмечались более частые и тяжелые проявления гипокальциемии, чем у пациентов с почечно-клеточным и печеночно-клеточным раком. </w:t>
      </w:r>
    </w:p>
    <w:p w14:paraId="150AFDD3" w14:textId="77777777" w:rsidR="00817E71" w:rsidRPr="00817E71" w:rsidRDefault="00817E71" w:rsidP="00817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E71">
        <w:rPr>
          <w:rFonts w:ascii="Times New Roman" w:eastAsia="Times New Roman" w:hAnsi="Times New Roman"/>
          <w:sz w:val="24"/>
          <w:szCs w:val="24"/>
        </w:rPr>
        <w:t xml:space="preserve">У пациентов с дифференцированным раком щитовидной железы, находившихся на лечении </w:t>
      </w:r>
      <w:r w:rsidR="00B120BF">
        <w:rPr>
          <w:rFonts w:ascii="Times New Roman" w:eastAsia="Times New Roman" w:hAnsi="Times New Roman"/>
          <w:sz w:val="24"/>
          <w:szCs w:val="24"/>
        </w:rPr>
        <w:t>сорафенибом</w:t>
      </w:r>
      <w:r w:rsidRPr="00817E71">
        <w:rPr>
          <w:rFonts w:ascii="Times New Roman" w:eastAsia="Times New Roman" w:hAnsi="Times New Roman"/>
          <w:sz w:val="24"/>
          <w:szCs w:val="24"/>
        </w:rPr>
        <w:t xml:space="preserve">, гипокальциемия 3 или 4 степени встречалась с частотой 6.8% и 3.4 %, соответственно (см. раздел 4.8). </w:t>
      </w:r>
      <w:r w:rsidR="008467BF" w:rsidRPr="008467BF">
        <w:rPr>
          <w:rFonts w:ascii="Times New Roman" w:eastAsia="Times New Roman" w:hAnsi="Times New Roman"/>
          <w:sz w:val="24"/>
          <w:szCs w:val="24"/>
          <w:lang w:val="kk-KZ"/>
        </w:rPr>
        <w:t>Необходимо исключить тяж</w:t>
      </w:r>
      <w:r w:rsidR="008467BF" w:rsidRPr="008467BF">
        <w:rPr>
          <w:rFonts w:ascii="Times New Roman" w:eastAsia="Times New Roman" w:hAnsi="Times New Roman"/>
          <w:sz w:val="24"/>
          <w:szCs w:val="24"/>
        </w:rPr>
        <w:t>ёлую гипокальциемию</w:t>
      </w:r>
      <w:r w:rsidR="008467BF" w:rsidRPr="00471492">
        <w:rPr>
          <w:rFonts w:ascii="Times New Roman" w:eastAsia="Times New Roman" w:hAnsi="Times New Roman"/>
          <w:sz w:val="24"/>
          <w:szCs w:val="24"/>
        </w:rPr>
        <w:t xml:space="preserve"> для предотвращения таких осложнений как удлинение интервала QT или желудочковой аритмии (см. пункт «Удлинение интервала QT»)</w:t>
      </w:r>
      <w:r w:rsidR="008467BF" w:rsidRPr="008467BF">
        <w:rPr>
          <w:rFonts w:ascii="Times New Roman" w:eastAsia="Times New Roman" w:hAnsi="Times New Roman"/>
          <w:sz w:val="24"/>
          <w:szCs w:val="24"/>
        </w:rPr>
        <w:t>.</w:t>
      </w:r>
    </w:p>
    <w:p w14:paraId="61B849F6" w14:textId="77777777" w:rsidR="00B120BF" w:rsidRPr="00B120BF" w:rsidRDefault="00B120BF" w:rsidP="00B12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20BF">
        <w:rPr>
          <w:rFonts w:ascii="Times New Roman" w:eastAsia="Times New Roman" w:hAnsi="Times New Roman"/>
          <w:i/>
          <w:sz w:val="24"/>
          <w:szCs w:val="24"/>
        </w:rPr>
        <w:t>Супрессия тиреотропного гормона при дифференцированном раке щитовидной железы</w:t>
      </w:r>
    </w:p>
    <w:p w14:paraId="75FA590D" w14:textId="77777777" w:rsidR="00B120BF" w:rsidRPr="00B120BF" w:rsidRDefault="00B120BF" w:rsidP="00B12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20BF">
        <w:rPr>
          <w:rFonts w:ascii="Times New Roman" w:eastAsia="Times New Roman" w:hAnsi="Times New Roman"/>
          <w:sz w:val="24"/>
          <w:szCs w:val="24"/>
        </w:rPr>
        <w:t xml:space="preserve">У </w:t>
      </w:r>
      <w:r w:rsidR="00594D05">
        <w:rPr>
          <w:rFonts w:ascii="Times New Roman" w:eastAsia="Times New Roman" w:hAnsi="Times New Roman"/>
          <w:sz w:val="24"/>
          <w:szCs w:val="24"/>
        </w:rPr>
        <w:t>половины</w:t>
      </w:r>
      <w:r w:rsidRPr="00B120BF">
        <w:rPr>
          <w:rFonts w:ascii="Times New Roman" w:eastAsia="Times New Roman" w:hAnsi="Times New Roman"/>
          <w:sz w:val="24"/>
          <w:szCs w:val="24"/>
        </w:rPr>
        <w:t xml:space="preserve"> </w:t>
      </w:r>
      <w:r w:rsidR="00594D05">
        <w:rPr>
          <w:rFonts w:ascii="Times New Roman" w:eastAsia="Times New Roman" w:hAnsi="Times New Roman"/>
          <w:sz w:val="24"/>
          <w:szCs w:val="24"/>
        </w:rPr>
        <w:t>пациентов</w:t>
      </w:r>
      <w:r w:rsidRPr="00B120BF">
        <w:rPr>
          <w:rFonts w:ascii="Times New Roman" w:eastAsia="Times New Roman" w:hAnsi="Times New Roman"/>
          <w:sz w:val="24"/>
          <w:szCs w:val="24"/>
        </w:rPr>
        <w:t xml:space="preserve"> </w:t>
      </w:r>
      <w:r w:rsidR="00091CE9">
        <w:rPr>
          <w:rFonts w:ascii="Times New Roman" w:eastAsia="Times New Roman" w:hAnsi="Times New Roman"/>
          <w:sz w:val="24"/>
          <w:szCs w:val="24"/>
        </w:rPr>
        <w:t xml:space="preserve">с </w:t>
      </w:r>
      <w:r w:rsidRPr="00B120BF">
        <w:rPr>
          <w:rFonts w:ascii="Times New Roman" w:eastAsia="Times New Roman" w:hAnsi="Times New Roman"/>
          <w:sz w:val="24"/>
          <w:szCs w:val="24"/>
        </w:rPr>
        <w:t xml:space="preserve">дифференцированным раком щитовидной железы, получавших лечение </w:t>
      </w:r>
      <w:r>
        <w:rPr>
          <w:rFonts w:ascii="Times New Roman" w:eastAsia="Times New Roman" w:hAnsi="Times New Roman"/>
          <w:sz w:val="24"/>
          <w:szCs w:val="24"/>
        </w:rPr>
        <w:t>сорафенибом</w:t>
      </w:r>
      <w:r w:rsidRPr="00B120BF">
        <w:rPr>
          <w:rFonts w:ascii="Times New Roman" w:eastAsia="Times New Roman" w:hAnsi="Times New Roman"/>
          <w:sz w:val="24"/>
          <w:szCs w:val="24"/>
        </w:rPr>
        <w:t xml:space="preserve"> в клиническом исследовании 5 (см. раздел 5.1)</w:t>
      </w:r>
      <w:r w:rsidR="00091CE9">
        <w:rPr>
          <w:rFonts w:ascii="Times New Roman" w:eastAsia="Times New Roman" w:hAnsi="Times New Roman"/>
          <w:sz w:val="24"/>
          <w:szCs w:val="24"/>
        </w:rPr>
        <w:t>,</w:t>
      </w:r>
      <w:r w:rsidRPr="00B120BF">
        <w:rPr>
          <w:rFonts w:ascii="Times New Roman" w:eastAsia="Times New Roman" w:hAnsi="Times New Roman"/>
          <w:sz w:val="24"/>
          <w:szCs w:val="24"/>
        </w:rPr>
        <w:t xml:space="preserve"> уровень тиреотропного гормона превы</w:t>
      </w:r>
      <w:r>
        <w:rPr>
          <w:rFonts w:ascii="Times New Roman" w:eastAsia="Times New Roman" w:hAnsi="Times New Roman"/>
          <w:sz w:val="24"/>
          <w:szCs w:val="24"/>
        </w:rPr>
        <w:t xml:space="preserve">шал </w:t>
      </w:r>
      <w:r w:rsidRPr="00B120BF">
        <w:rPr>
          <w:rFonts w:ascii="Times New Roman" w:eastAsia="Times New Roman" w:hAnsi="Times New Roman"/>
          <w:sz w:val="24"/>
          <w:szCs w:val="24"/>
        </w:rPr>
        <w:t xml:space="preserve">0,5 мЕд/л. При применении препарата </w:t>
      </w:r>
      <w:r>
        <w:rPr>
          <w:rFonts w:ascii="Times New Roman" w:eastAsia="Times New Roman" w:hAnsi="Times New Roman"/>
          <w:sz w:val="24"/>
          <w:szCs w:val="24"/>
        </w:rPr>
        <w:t>Ливониб</w:t>
      </w:r>
      <w:r w:rsidRPr="00B120BF">
        <w:rPr>
          <w:rFonts w:ascii="Times New Roman" w:eastAsia="Times New Roman" w:hAnsi="Times New Roman"/>
          <w:sz w:val="24"/>
          <w:szCs w:val="24"/>
        </w:rPr>
        <w:t xml:space="preserve"> у таких пациентов следует контролировать уровень тиреотропного гормона.</w:t>
      </w:r>
    </w:p>
    <w:p w14:paraId="20373D23" w14:textId="77777777" w:rsidR="00B120BF" w:rsidRPr="00B120BF" w:rsidRDefault="00B120BF" w:rsidP="00B12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120BF">
        <w:rPr>
          <w:rFonts w:ascii="Times New Roman" w:eastAsia="Times New Roman" w:hAnsi="Times New Roman"/>
          <w:i/>
          <w:sz w:val="24"/>
          <w:szCs w:val="24"/>
        </w:rPr>
        <w:t>Почечно-клеточный рак</w:t>
      </w:r>
    </w:p>
    <w:p w14:paraId="02313379" w14:textId="77777777" w:rsidR="00024ACC" w:rsidRDefault="00B120BF" w:rsidP="00B12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20BF">
        <w:rPr>
          <w:rFonts w:ascii="Times New Roman" w:eastAsia="Times New Roman" w:hAnsi="Times New Roman"/>
          <w:sz w:val="24"/>
          <w:szCs w:val="24"/>
        </w:rPr>
        <w:t xml:space="preserve">Пациенты с </w:t>
      </w:r>
      <w:r>
        <w:rPr>
          <w:rFonts w:ascii="Times New Roman" w:eastAsia="Times New Roman" w:hAnsi="Times New Roman"/>
          <w:sz w:val="24"/>
          <w:szCs w:val="24"/>
        </w:rPr>
        <w:t>повышенным</w:t>
      </w:r>
      <w:r w:rsidRPr="00B120BF">
        <w:rPr>
          <w:rFonts w:ascii="Times New Roman" w:eastAsia="Times New Roman" w:hAnsi="Times New Roman"/>
          <w:sz w:val="24"/>
          <w:szCs w:val="24"/>
        </w:rPr>
        <w:t xml:space="preserve"> риском в соответствии с</w:t>
      </w:r>
      <w:r w:rsidRPr="00B120BF">
        <w:rPr>
          <w:rFonts w:ascii="Times New Roman" w:eastAsia="Times New Roman" w:hAnsi="Times New Roman"/>
          <w:bCs/>
          <w:sz w:val="24"/>
          <w:szCs w:val="24"/>
        </w:rPr>
        <w:t xml:space="preserve"> прогностической группой MSKCC</w:t>
      </w:r>
      <w:r w:rsidRPr="00B120BF">
        <w:rPr>
          <w:rFonts w:ascii="Times New Roman" w:eastAsia="Times New Roman" w:hAnsi="Times New Roman"/>
          <w:sz w:val="24"/>
          <w:szCs w:val="24"/>
        </w:rPr>
        <w:t xml:space="preserve"> (</w:t>
      </w:r>
      <w:r w:rsidRPr="00B120BF">
        <w:rPr>
          <w:rFonts w:ascii="Times New Roman" w:eastAsia="Times New Roman" w:hAnsi="Times New Roman"/>
          <w:bCs/>
          <w:sz w:val="24"/>
          <w:szCs w:val="24"/>
        </w:rPr>
        <w:t xml:space="preserve">Мемориальный раковый Центр Слоун-Кеттеринг) не включались в клинические исследования </w:t>
      </w:r>
      <w:r w:rsidR="00C81442" w:rsidRPr="00B120BF">
        <w:rPr>
          <w:rFonts w:ascii="Times New Roman" w:eastAsia="Times New Roman" w:hAnsi="Times New Roman"/>
          <w:sz w:val="24"/>
          <w:szCs w:val="24"/>
        </w:rPr>
        <w:t>почечно-клеточн</w:t>
      </w:r>
      <w:r w:rsidR="00C81442">
        <w:rPr>
          <w:rFonts w:ascii="Times New Roman" w:eastAsia="Times New Roman" w:hAnsi="Times New Roman"/>
          <w:sz w:val="24"/>
          <w:szCs w:val="24"/>
        </w:rPr>
        <w:t xml:space="preserve">ой карциномы </w:t>
      </w:r>
      <w:r w:rsidR="00C81442" w:rsidRPr="00B120BF">
        <w:rPr>
          <w:rFonts w:ascii="Times New Roman" w:eastAsia="Times New Roman" w:hAnsi="Times New Roman"/>
          <w:bCs/>
          <w:sz w:val="24"/>
          <w:szCs w:val="24"/>
        </w:rPr>
        <w:t xml:space="preserve">фазы </w:t>
      </w:r>
      <w:r w:rsidR="00C81442" w:rsidRPr="00B120BF">
        <w:rPr>
          <w:rFonts w:ascii="Times New Roman" w:eastAsia="Times New Roman" w:hAnsi="Times New Roman"/>
          <w:bCs/>
          <w:sz w:val="24"/>
          <w:szCs w:val="24"/>
          <w:lang w:val="en-US"/>
        </w:rPr>
        <w:t>III</w:t>
      </w:r>
      <w:r w:rsidR="00C81442" w:rsidRPr="00B120B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81442" w:rsidRPr="00B120BF">
        <w:rPr>
          <w:rFonts w:ascii="Times New Roman" w:eastAsia="Times New Roman" w:hAnsi="Times New Roman"/>
          <w:sz w:val="24"/>
          <w:szCs w:val="24"/>
        </w:rPr>
        <w:t>(см. исследование 1 раздела 5.1),</w:t>
      </w:r>
      <w:r w:rsidRPr="00B120BF">
        <w:rPr>
          <w:rFonts w:ascii="Times New Roman" w:eastAsia="Times New Roman" w:hAnsi="Times New Roman"/>
          <w:sz w:val="24"/>
          <w:szCs w:val="24"/>
        </w:rPr>
        <w:t xml:space="preserve"> и оценка соотношения польза/риск у этих пациентов не </w:t>
      </w:r>
      <w:r w:rsidR="00F64ADD">
        <w:rPr>
          <w:rFonts w:ascii="Times New Roman" w:eastAsia="Times New Roman" w:hAnsi="Times New Roman"/>
          <w:sz w:val="24"/>
          <w:szCs w:val="24"/>
          <w:lang w:val="kk-KZ"/>
        </w:rPr>
        <w:t>проводилась</w:t>
      </w:r>
      <w:r w:rsidRPr="00B120BF">
        <w:rPr>
          <w:rFonts w:ascii="Times New Roman" w:eastAsia="Times New Roman" w:hAnsi="Times New Roman"/>
          <w:sz w:val="24"/>
          <w:szCs w:val="24"/>
        </w:rPr>
        <w:t>.</w:t>
      </w:r>
    </w:p>
    <w:p w14:paraId="34904E92" w14:textId="77777777" w:rsidR="00B120BF" w:rsidRPr="00B120BF" w:rsidRDefault="00B120BF" w:rsidP="00B12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B120BF">
        <w:rPr>
          <w:rFonts w:ascii="Times New Roman" w:eastAsia="Times New Roman" w:hAnsi="Times New Roman"/>
          <w:i/>
          <w:iCs/>
          <w:sz w:val="24"/>
          <w:szCs w:val="24"/>
        </w:rPr>
        <w:t>Информация о вспомогательных веществах</w:t>
      </w:r>
    </w:p>
    <w:p w14:paraId="1F2317ED" w14:textId="77777777" w:rsidR="00B120BF" w:rsidRPr="00024ACC" w:rsidRDefault="00B120BF" w:rsidP="00B12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20BF">
        <w:rPr>
          <w:rFonts w:ascii="Times New Roman" w:eastAsia="Times New Roman" w:hAnsi="Times New Roman"/>
          <w:sz w:val="24"/>
          <w:szCs w:val="24"/>
        </w:rPr>
        <w:t xml:space="preserve">Препарат </w:t>
      </w:r>
      <w:r>
        <w:rPr>
          <w:rFonts w:ascii="Times New Roman" w:eastAsia="Times New Roman" w:hAnsi="Times New Roman"/>
          <w:sz w:val="24"/>
          <w:szCs w:val="24"/>
        </w:rPr>
        <w:t xml:space="preserve">Ливониб </w:t>
      </w:r>
      <w:r w:rsidRPr="00B120BF">
        <w:rPr>
          <w:rFonts w:ascii="Times New Roman" w:eastAsia="Times New Roman" w:hAnsi="Times New Roman"/>
          <w:sz w:val="24"/>
          <w:szCs w:val="24"/>
        </w:rPr>
        <w:t xml:space="preserve">содержит </w:t>
      </w:r>
      <w:r>
        <w:rPr>
          <w:rFonts w:ascii="Times New Roman" w:eastAsia="Times New Roman" w:hAnsi="Times New Roman"/>
          <w:sz w:val="24"/>
          <w:szCs w:val="24"/>
        </w:rPr>
        <w:t>82,5 мг натрия кроскармеллозы и натрия лаурилсульфата</w:t>
      </w:r>
      <w:r w:rsidRPr="00B120BF">
        <w:rPr>
          <w:rFonts w:ascii="Times New Roman" w:eastAsia="Times New Roman" w:hAnsi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</w:rPr>
        <w:t xml:space="preserve">1 таблетку. </w:t>
      </w:r>
      <w:r w:rsidRPr="00B120B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Исходя из этого количества, можно считать, что препарат «свободен от натрия».</w:t>
      </w:r>
    </w:p>
    <w:p w14:paraId="2059A442" w14:textId="77777777" w:rsidR="00B120BF" w:rsidRDefault="00B120BF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9FF448E" w14:textId="77777777" w:rsidR="007D0E84" w:rsidRPr="008C2E13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40F5C77D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" w:name="_Hlk38289342"/>
      <w:r w:rsidRPr="00AD38BD">
        <w:rPr>
          <w:rFonts w:ascii="Times New Roman" w:hAnsi="Times New Roman"/>
          <w:i/>
          <w:color w:val="000000"/>
          <w:sz w:val="24"/>
          <w:szCs w:val="24"/>
        </w:rPr>
        <w:t>Индукторы метаболических ферментов</w:t>
      </w:r>
    </w:p>
    <w:p w14:paraId="2FF2E053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38BD">
        <w:rPr>
          <w:rFonts w:ascii="Times New Roman" w:hAnsi="Times New Roman"/>
          <w:color w:val="000000"/>
          <w:sz w:val="24"/>
          <w:szCs w:val="24"/>
        </w:rPr>
        <w:t xml:space="preserve">Применение рифампицина за 5 дней перед назначением однократной дозы </w:t>
      </w:r>
      <w:r>
        <w:rPr>
          <w:rFonts w:ascii="Times New Roman" w:hAnsi="Times New Roman"/>
          <w:color w:val="000000"/>
          <w:sz w:val="24"/>
          <w:szCs w:val="24"/>
        </w:rPr>
        <w:t>Ливониба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в среднем на 37% снижает значение показателя 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AUC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сорафениба. Другие препараты, индуцирующие активность CYP3A4 и/или глюкоронидизацию (например, </w:t>
      </w:r>
      <w:r>
        <w:rPr>
          <w:rFonts w:ascii="Times New Roman" w:hAnsi="Times New Roman"/>
          <w:color w:val="000000"/>
          <w:sz w:val="24"/>
          <w:szCs w:val="24"/>
        </w:rPr>
        <w:t>зверобой</w:t>
      </w:r>
      <w:r w:rsidRPr="00AD38BD">
        <w:rPr>
          <w:rFonts w:ascii="Times New Roman" w:hAnsi="Times New Roman"/>
          <w:color w:val="000000"/>
          <w:sz w:val="24"/>
          <w:szCs w:val="24"/>
        </w:rPr>
        <w:t>, фенитоин, карбамазепин, фенобарбитал и дексаметазон) могут увеличивать метаболизм сорафениба и, таким образом, снижать его концентрацию в организме.</w:t>
      </w:r>
    </w:p>
    <w:p w14:paraId="1394A8CC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38BD">
        <w:rPr>
          <w:rFonts w:ascii="Times New Roman" w:hAnsi="Times New Roman"/>
          <w:i/>
          <w:color w:val="000000"/>
          <w:sz w:val="24"/>
          <w:szCs w:val="24"/>
        </w:rPr>
        <w:t>Ингибиторы CYP3A4</w:t>
      </w:r>
    </w:p>
    <w:p w14:paraId="491C4904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38BD">
        <w:rPr>
          <w:rFonts w:ascii="Times New Roman" w:hAnsi="Times New Roman"/>
          <w:color w:val="000000"/>
          <w:sz w:val="24"/>
          <w:szCs w:val="24"/>
        </w:rPr>
        <w:lastRenderedPageBreak/>
        <w:t xml:space="preserve">Кетоконазол, сильный ингибитор фермента CYP3A4, при ежедневном приеме в течение 7 дней у здоровых добровольцев не оказывал влияния на показатель 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AUC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сорафениба при его однократном приеме в дозе 50 мг.  На основании этих данных можно полагать, что клинические фармакокинетические взаимодействия препарата </w:t>
      </w:r>
      <w:r>
        <w:rPr>
          <w:rFonts w:ascii="Times New Roman" w:hAnsi="Times New Roman"/>
          <w:color w:val="000000"/>
          <w:sz w:val="24"/>
          <w:szCs w:val="24"/>
        </w:rPr>
        <w:t>Ливониб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с ингибиторами цитохрома CYP3A4 маловероятны.</w:t>
      </w:r>
    </w:p>
    <w:p w14:paraId="5D29ED0D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D38BD">
        <w:rPr>
          <w:rFonts w:ascii="Times New Roman" w:hAnsi="Times New Roman"/>
          <w:i/>
          <w:color w:val="000000"/>
          <w:sz w:val="24"/>
          <w:szCs w:val="24"/>
        </w:rPr>
        <w:t>Субстраты CYP2В6, CYP2C8 и CYP2C9</w:t>
      </w:r>
    </w:p>
    <w:p w14:paraId="2C77FA51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38BD">
        <w:rPr>
          <w:rFonts w:ascii="Times New Roman" w:hAnsi="Times New Roman"/>
          <w:color w:val="000000"/>
          <w:sz w:val="24"/>
          <w:szCs w:val="24"/>
        </w:rPr>
        <w:t xml:space="preserve">Сорафениб ингибирует </w:t>
      </w:r>
      <w:r w:rsidRPr="00AD38BD">
        <w:rPr>
          <w:rFonts w:ascii="Times New Roman" w:hAnsi="Times New Roman"/>
          <w:i/>
          <w:color w:val="000000"/>
          <w:sz w:val="24"/>
          <w:szCs w:val="24"/>
        </w:rPr>
        <w:t>ин</w:t>
      </w:r>
      <w:r w:rsidR="002D026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AD38BD">
        <w:rPr>
          <w:rFonts w:ascii="Times New Roman" w:hAnsi="Times New Roman"/>
          <w:i/>
          <w:color w:val="000000"/>
          <w:sz w:val="24"/>
          <w:szCs w:val="24"/>
        </w:rPr>
        <w:t>витро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ферменты CYP2В6, CYP2C8 и CYP2C9 с одинаковой активностью. Однако в клинических фармакокинетических исследованиях, одновременное назначение </w:t>
      </w:r>
      <w:r w:rsidR="002D0266">
        <w:rPr>
          <w:rFonts w:ascii="Times New Roman" w:hAnsi="Times New Roman"/>
          <w:color w:val="000000"/>
          <w:sz w:val="24"/>
          <w:szCs w:val="24"/>
        </w:rPr>
        <w:t>сорафениба</w:t>
      </w:r>
      <w:r w:rsidRPr="00AD38BD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AD38BD">
        <w:rPr>
          <w:rFonts w:ascii="Times New Roman" w:hAnsi="Times New Roman"/>
          <w:color w:val="000000"/>
          <w:sz w:val="24"/>
          <w:szCs w:val="24"/>
        </w:rPr>
        <w:t>2 раза в день и циклофосфамида, субстрата фермента С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YP</w:t>
      </w:r>
      <w:r w:rsidRPr="00AD38BD">
        <w:rPr>
          <w:rFonts w:ascii="Times New Roman" w:hAnsi="Times New Roman"/>
          <w:color w:val="000000"/>
          <w:sz w:val="24"/>
          <w:szCs w:val="24"/>
        </w:rPr>
        <w:t>2В6 или паклитаксела, субстрата фермента С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YP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2В8 не приводило к клинически значимому ингибированию. </w:t>
      </w:r>
    </w:p>
    <w:p w14:paraId="11CAD32A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38BD">
        <w:rPr>
          <w:rFonts w:ascii="Times New Roman" w:hAnsi="Times New Roman"/>
          <w:color w:val="000000"/>
          <w:sz w:val="24"/>
          <w:szCs w:val="24"/>
        </w:rPr>
        <w:t xml:space="preserve">На основании этих данных можно полагать, что </w:t>
      </w:r>
      <w:r w:rsidR="002D0266">
        <w:rPr>
          <w:rFonts w:ascii="Times New Roman" w:hAnsi="Times New Roman"/>
          <w:color w:val="000000"/>
          <w:sz w:val="24"/>
          <w:szCs w:val="24"/>
        </w:rPr>
        <w:t>препарат Ливониб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в рекомендуемой доз</w:t>
      </w:r>
      <w:r w:rsidR="002D0266">
        <w:rPr>
          <w:rFonts w:ascii="Times New Roman" w:hAnsi="Times New Roman"/>
          <w:color w:val="000000"/>
          <w:sz w:val="24"/>
          <w:szCs w:val="24"/>
        </w:rPr>
        <w:t>е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400 мг 2 раза в день не может являться ингибитором фермента 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CYP</w:t>
      </w:r>
      <w:r w:rsidRPr="00AD38BD">
        <w:rPr>
          <w:rFonts w:ascii="Times New Roman" w:hAnsi="Times New Roman"/>
          <w:color w:val="000000"/>
          <w:sz w:val="24"/>
          <w:szCs w:val="24"/>
        </w:rPr>
        <w:t>2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 w:rsidRPr="00AD38BD">
        <w:rPr>
          <w:rFonts w:ascii="Times New Roman" w:hAnsi="Times New Roman"/>
          <w:color w:val="000000"/>
          <w:sz w:val="24"/>
          <w:szCs w:val="24"/>
        </w:rPr>
        <w:t>6 или С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YP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2В8. </w:t>
      </w:r>
    </w:p>
    <w:p w14:paraId="2D13AEA7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38BD">
        <w:rPr>
          <w:rFonts w:ascii="Times New Roman" w:hAnsi="Times New Roman"/>
          <w:color w:val="000000"/>
          <w:sz w:val="24"/>
          <w:szCs w:val="24"/>
        </w:rPr>
        <w:t xml:space="preserve">Кроме того, одновременный прием </w:t>
      </w:r>
      <w:r w:rsidR="002D0266">
        <w:rPr>
          <w:rFonts w:ascii="Times New Roman" w:hAnsi="Times New Roman"/>
          <w:color w:val="000000"/>
          <w:sz w:val="24"/>
          <w:szCs w:val="24"/>
        </w:rPr>
        <w:t>сорафениба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и варфарина, субстрата CYP2В9 не привел к изменению средних значений протромбинового времени и международного нормализованного отношения (МНО) в сравнении с плацебо. Следовательно, ожидаемый риск развития клинически значимого ингибирования </w:t>
      </w:r>
      <w:r w:rsidRPr="00AD38BD">
        <w:rPr>
          <w:rFonts w:ascii="Times New Roman" w:hAnsi="Times New Roman"/>
          <w:i/>
          <w:color w:val="000000"/>
          <w:sz w:val="24"/>
          <w:szCs w:val="24"/>
          <w:lang w:val="en-US"/>
        </w:rPr>
        <w:t>in</w:t>
      </w:r>
      <w:r w:rsidRPr="00AD38B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AD38BD">
        <w:rPr>
          <w:rFonts w:ascii="Times New Roman" w:hAnsi="Times New Roman"/>
          <w:i/>
          <w:color w:val="000000"/>
          <w:sz w:val="24"/>
          <w:szCs w:val="24"/>
          <w:lang w:val="en-US"/>
        </w:rPr>
        <w:t>vivo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также является низким. Однако рекомендуется регулярное определение показателя МНО всем </w:t>
      </w:r>
      <w:r w:rsidR="00594D05">
        <w:rPr>
          <w:rFonts w:ascii="Times New Roman" w:hAnsi="Times New Roman"/>
          <w:color w:val="000000"/>
          <w:sz w:val="24"/>
          <w:szCs w:val="24"/>
        </w:rPr>
        <w:t>пациентам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, получающим терапию варфарином или </w:t>
      </w:r>
      <w:r w:rsidRPr="00AD38BD">
        <w:rPr>
          <w:rFonts w:ascii="Times New Roman" w:hAnsi="Times New Roman"/>
          <w:i/>
          <w:iCs/>
          <w:color w:val="000000"/>
          <w:sz w:val="24"/>
          <w:szCs w:val="24"/>
        </w:rPr>
        <w:t>фенпрокумон</w:t>
      </w:r>
      <w:r w:rsidRPr="00AD38BD">
        <w:rPr>
          <w:rFonts w:ascii="Times New Roman" w:hAnsi="Times New Roman"/>
          <w:iCs/>
          <w:color w:val="000000"/>
          <w:sz w:val="24"/>
          <w:szCs w:val="24"/>
        </w:rPr>
        <w:t xml:space="preserve">ом (см. раздел 4.4). </w:t>
      </w:r>
    </w:p>
    <w:p w14:paraId="671FFF94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D38BD">
        <w:rPr>
          <w:rFonts w:ascii="Times New Roman" w:hAnsi="Times New Roman"/>
          <w:i/>
          <w:color w:val="000000"/>
          <w:sz w:val="24"/>
          <w:szCs w:val="24"/>
        </w:rPr>
        <w:t xml:space="preserve">Субстраты </w:t>
      </w:r>
      <w:r w:rsidRPr="00AD38BD">
        <w:rPr>
          <w:rFonts w:ascii="Times New Roman" w:hAnsi="Times New Roman"/>
          <w:i/>
          <w:iCs/>
          <w:color w:val="000000"/>
          <w:sz w:val="24"/>
          <w:szCs w:val="24"/>
        </w:rPr>
        <w:t>CYP3A4, CYP2</w:t>
      </w:r>
      <w:r w:rsidRPr="00AD38B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D</w:t>
      </w:r>
      <w:r w:rsidRPr="00AD38BD">
        <w:rPr>
          <w:rFonts w:ascii="Times New Roman" w:hAnsi="Times New Roman"/>
          <w:i/>
          <w:iCs/>
          <w:color w:val="000000"/>
          <w:sz w:val="24"/>
          <w:szCs w:val="24"/>
        </w:rPr>
        <w:t xml:space="preserve">6 </w:t>
      </w:r>
      <w:r w:rsidRPr="00AD38B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B</w:t>
      </w:r>
      <w:r w:rsidRPr="00AD38BD">
        <w:rPr>
          <w:rFonts w:ascii="Times New Roman" w:hAnsi="Times New Roman"/>
          <w:i/>
          <w:iCs/>
          <w:color w:val="000000"/>
          <w:sz w:val="24"/>
          <w:szCs w:val="24"/>
        </w:rPr>
        <w:t xml:space="preserve"> и CYP2C19</w:t>
      </w:r>
    </w:p>
    <w:p w14:paraId="519CB279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38BD">
        <w:rPr>
          <w:rFonts w:ascii="Times New Roman" w:hAnsi="Times New Roman"/>
          <w:color w:val="000000"/>
          <w:sz w:val="24"/>
          <w:szCs w:val="24"/>
        </w:rPr>
        <w:t>При одновременном применении сорафениба и мидазолама, декстрометорфана и омепразола, которые являются субстратами цитохромов CYP3A4, CYP2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6 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и CYP2C19, соответственно, не происходило изменения экспозиции данных препаратов. Это свидетельствует о том, что</w:t>
      </w:r>
      <w:r w:rsidRPr="00AD38B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2D0266">
        <w:rPr>
          <w:rFonts w:ascii="Times New Roman" w:hAnsi="Times New Roman"/>
          <w:color w:val="000000"/>
          <w:sz w:val="24"/>
          <w:szCs w:val="24"/>
        </w:rPr>
        <w:t>препарат Ливониб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не ингибирует, не индуцирует изоферменты из группы цитохрома P450.  На основании этих данных можно полагать, что клинические фармакокинетические взаимодействия препарата </w:t>
      </w:r>
      <w:r w:rsidR="002D0266">
        <w:rPr>
          <w:rFonts w:ascii="Times New Roman" w:hAnsi="Times New Roman"/>
          <w:color w:val="000000"/>
          <w:sz w:val="24"/>
          <w:szCs w:val="24"/>
        </w:rPr>
        <w:t>Ливониб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с субстратами этих ферментов маловероятны.</w:t>
      </w:r>
    </w:p>
    <w:p w14:paraId="0377A068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D38BD">
        <w:rPr>
          <w:rFonts w:ascii="Times New Roman" w:hAnsi="Times New Roman"/>
          <w:bCs/>
          <w:i/>
          <w:color w:val="000000"/>
          <w:sz w:val="24"/>
          <w:szCs w:val="24"/>
        </w:rPr>
        <w:t xml:space="preserve">Субстраты UGT1A1 и UGT1A9 </w:t>
      </w:r>
    </w:p>
    <w:p w14:paraId="1F515E18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38BD">
        <w:rPr>
          <w:rFonts w:ascii="Times New Roman" w:hAnsi="Times New Roman"/>
          <w:iCs/>
          <w:color w:val="000000"/>
          <w:sz w:val="24"/>
          <w:szCs w:val="24"/>
        </w:rPr>
        <w:t>В ходе исследований</w:t>
      </w:r>
      <w:r w:rsidRPr="00AD38BD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D38B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</w:t>
      </w:r>
      <w:r w:rsidRPr="00AD38BD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D38B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vitro</w:t>
      </w:r>
      <w:r w:rsidRPr="00AD38BD">
        <w:rPr>
          <w:rFonts w:ascii="Times New Roman" w:hAnsi="Times New Roman"/>
          <w:iCs/>
          <w:color w:val="000000"/>
          <w:sz w:val="24"/>
          <w:szCs w:val="24"/>
        </w:rPr>
        <w:t>, показано что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, что сорафениб ингибирует глюкуронидацию, опосредованную уридиндифосфат глюкуронозилтрансферазами 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UGT</w:t>
      </w:r>
      <w:r w:rsidRPr="00AD38BD">
        <w:rPr>
          <w:rFonts w:ascii="Times New Roman" w:hAnsi="Times New Roman"/>
          <w:color w:val="000000"/>
          <w:sz w:val="24"/>
          <w:szCs w:val="24"/>
        </w:rPr>
        <w:t>1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1 и 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UGT</w:t>
      </w:r>
      <w:r w:rsidRPr="00AD38BD">
        <w:rPr>
          <w:rFonts w:ascii="Times New Roman" w:hAnsi="Times New Roman"/>
          <w:color w:val="000000"/>
          <w:sz w:val="24"/>
          <w:szCs w:val="24"/>
        </w:rPr>
        <w:t>1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9.    Клиническая значимость этих данных неизвестна (см. раздел 4.4). </w:t>
      </w:r>
    </w:p>
    <w:p w14:paraId="0F938DEC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D38BD">
        <w:rPr>
          <w:rFonts w:ascii="Times New Roman" w:hAnsi="Times New Roman"/>
          <w:i/>
          <w:color w:val="000000"/>
          <w:sz w:val="24"/>
          <w:szCs w:val="24"/>
        </w:rPr>
        <w:t xml:space="preserve">Исследования </w:t>
      </w:r>
      <w:r w:rsidRPr="00AD38B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</w:t>
      </w:r>
      <w:r w:rsidRPr="00AD38BD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D38B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vitro</w:t>
      </w:r>
      <w:r w:rsidRPr="00AD38BD">
        <w:rPr>
          <w:rFonts w:ascii="Times New Roman" w:hAnsi="Times New Roman"/>
          <w:i/>
          <w:color w:val="000000"/>
          <w:sz w:val="24"/>
          <w:szCs w:val="24"/>
        </w:rPr>
        <w:t xml:space="preserve"> с индукцией ферментов </w:t>
      </w:r>
      <w:r w:rsidRPr="00AD38BD">
        <w:rPr>
          <w:rFonts w:ascii="Times New Roman" w:hAnsi="Times New Roman"/>
          <w:i/>
          <w:color w:val="000000"/>
          <w:sz w:val="24"/>
          <w:szCs w:val="24"/>
          <w:lang w:val="en-US"/>
        </w:rPr>
        <w:t>CYP</w:t>
      </w:r>
    </w:p>
    <w:p w14:paraId="2AB849FD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38BD">
        <w:rPr>
          <w:rFonts w:ascii="Times New Roman" w:hAnsi="Times New Roman"/>
          <w:color w:val="000000"/>
          <w:sz w:val="24"/>
          <w:szCs w:val="24"/>
        </w:rPr>
        <w:t xml:space="preserve">Лечение культуральных гепатоцитов человека </w:t>
      </w:r>
      <w:r w:rsidR="002D0266">
        <w:rPr>
          <w:rFonts w:ascii="Times New Roman" w:hAnsi="Times New Roman"/>
          <w:color w:val="000000"/>
          <w:sz w:val="24"/>
          <w:szCs w:val="24"/>
        </w:rPr>
        <w:t>сорафенибом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не сопровождалось изменением активности ферментов CYP1A2 и CYP3A4, указывающее на то, что индукция этих ферментов маловероятна на фоне применения препарата.    </w:t>
      </w:r>
    </w:p>
    <w:p w14:paraId="7AFB2BAC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D38BD">
        <w:rPr>
          <w:rFonts w:ascii="Times New Roman" w:hAnsi="Times New Roman"/>
          <w:bCs/>
          <w:i/>
          <w:color w:val="000000"/>
          <w:sz w:val="24"/>
          <w:szCs w:val="24"/>
        </w:rPr>
        <w:t xml:space="preserve">Субстраты </w:t>
      </w:r>
      <w:r w:rsidRPr="00AD38BD">
        <w:rPr>
          <w:rFonts w:ascii="Times New Roman" w:hAnsi="Times New Roman"/>
          <w:i/>
          <w:color w:val="000000"/>
          <w:sz w:val="24"/>
          <w:szCs w:val="24"/>
        </w:rPr>
        <w:t xml:space="preserve">Р-гликопротеина </w:t>
      </w:r>
    </w:p>
    <w:p w14:paraId="10C7719A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38BD">
        <w:rPr>
          <w:rFonts w:ascii="Times New Roman" w:hAnsi="Times New Roman"/>
          <w:color w:val="000000"/>
          <w:sz w:val="24"/>
          <w:szCs w:val="24"/>
        </w:rPr>
        <w:t xml:space="preserve">Исследования </w:t>
      </w:r>
      <w:r w:rsidRPr="00AD38BD">
        <w:rPr>
          <w:rFonts w:ascii="Times New Roman" w:hAnsi="Times New Roman"/>
          <w:i/>
          <w:iCs/>
          <w:color w:val="000000"/>
          <w:sz w:val="24"/>
          <w:szCs w:val="24"/>
        </w:rPr>
        <w:t xml:space="preserve">in vitro 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показывают, 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орарафениб является ингибитором </w:t>
      </w:r>
      <w:r w:rsidRPr="00AD38BD">
        <w:rPr>
          <w:rFonts w:ascii="Times New Roman" w:hAnsi="Times New Roman"/>
          <w:i/>
          <w:iCs/>
          <w:color w:val="000000"/>
          <w:sz w:val="24"/>
          <w:szCs w:val="24"/>
        </w:rPr>
        <w:t>транспорта Р-гликопротеина</w:t>
      </w:r>
      <w:r w:rsidRPr="00AD38BD">
        <w:rPr>
          <w:rFonts w:ascii="Times New Roman" w:hAnsi="Times New Roman"/>
          <w:iCs/>
          <w:color w:val="000000"/>
          <w:sz w:val="24"/>
          <w:szCs w:val="24"/>
        </w:rPr>
        <w:t>. При о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дновременном назначении препарата </w:t>
      </w:r>
      <w:r w:rsidR="002D0266">
        <w:rPr>
          <w:rFonts w:ascii="Times New Roman" w:hAnsi="Times New Roman"/>
          <w:color w:val="000000"/>
          <w:sz w:val="24"/>
          <w:szCs w:val="24"/>
        </w:rPr>
        <w:t>Ливониб</w:t>
      </w:r>
      <w:r w:rsidRPr="00AD38BD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повышение плазменной </w:t>
      </w:r>
      <w:r w:rsidR="003579FF" w:rsidRPr="00AD38BD">
        <w:rPr>
          <w:rFonts w:ascii="Times New Roman" w:hAnsi="Times New Roman"/>
          <w:color w:val="000000"/>
          <w:sz w:val="24"/>
          <w:szCs w:val="24"/>
        </w:rPr>
        <w:t>концентрации субстратов</w:t>
      </w:r>
      <w:r w:rsidRPr="00AD38B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Р-гликопротеина, таких как дигоксин, не может </w:t>
      </w:r>
      <w:r w:rsidR="003C240F">
        <w:rPr>
          <w:rFonts w:ascii="Times New Roman" w:hAnsi="Times New Roman"/>
          <w:color w:val="000000"/>
          <w:sz w:val="24"/>
          <w:szCs w:val="24"/>
        </w:rPr>
        <w:t>исключаться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14:paraId="4E5DEE32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D38BD">
        <w:rPr>
          <w:rFonts w:ascii="Times New Roman" w:hAnsi="Times New Roman"/>
          <w:i/>
          <w:color w:val="000000"/>
          <w:sz w:val="24"/>
          <w:szCs w:val="24"/>
        </w:rPr>
        <w:t>Комбинация с другими противоопухолевыми препаратами</w:t>
      </w:r>
    </w:p>
    <w:p w14:paraId="0487D86C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AD38BD">
        <w:rPr>
          <w:rFonts w:ascii="Times New Roman" w:hAnsi="Times New Roman"/>
          <w:iCs/>
          <w:color w:val="000000"/>
          <w:sz w:val="24"/>
          <w:szCs w:val="24"/>
        </w:rPr>
        <w:t>В исследованиях</w:t>
      </w:r>
      <w:r w:rsidRPr="00AD38BD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D38B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</w:t>
      </w:r>
      <w:r w:rsidRPr="00AD38BD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D38B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vitro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0266">
        <w:rPr>
          <w:rFonts w:ascii="Times New Roman" w:hAnsi="Times New Roman"/>
          <w:color w:val="000000"/>
          <w:sz w:val="24"/>
          <w:szCs w:val="24"/>
        </w:rPr>
        <w:t>сорафениб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назначался вместе с другими различными противоопухолевыми препаратами при их общих рекомендуемых схемах дозирования, такими как, гемцитабин, цисплатин, оксалиплатин, паклитаксел, карбоплатин, капецитабин, доксорубицин, иринотекан, доцетаксел и циклофосфамид. </w:t>
      </w:r>
      <w:r w:rsidR="00D950B0">
        <w:rPr>
          <w:rFonts w:ascii="Times New Roman" w:hAnsi="Times New Roman"/>
          <w:color w:val="000000"/>
          <w:sz w:val="24"/>
          <w:szCs w:val="24"/>
        </w:rPr>
        <w:t>Сорафениб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не оказывал клинически значимого влияния на фармакокинетику гемцитабина, цисплатина, карбоплатин, оксалиплатина или циклофосфамида.</w:t>
      </w:r>
      <w:r w:rsidRPr="00AD38BD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</w:p>
    <w:p w14:paraId="6A865C0E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D38BD">
        <w:rPr>
          <w:rFonts w:ascii="Times New Roman" w:hAnsi="Times New Roman"/>
          <w:i/>
          <w:color w:val="000000"/>
          <w:sz w:val="24"/>
          <w:szCs w:val="24"/>
        </w:rPr>
        <w:t>Паклитаксел/карбоплатин</w:t>
      </w:r>
    </w:p>
    <w:p w14:paraId="3F868776" w14:textId="77777777" w:rsidR="00AD38BD" w:rsidRPr="00AD38BD" w:rsidRDefault="00D950B0" w:rsidP="00D950B0">
      <w:pPr>
        <w:spacing w:after="0" w:line="240" w:lineRule="auto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79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38BD" w:rsidRPr="00AD38BD">
        <w:rPr>
          <w:rFonts w:ascii="Times New Roman" w:hAnsi="Times New Roman"/>
          <w:color w:val="000000"/>
          <w:sz w:val="24"/>
          <w:szCs w:val="24"/>
        </w:rPr>
        <w:t>Применение паклитаксела (225 мг/м</w:t>
      </w:r>
      <w:r w:rsidR="00AD38BD" w:rsidRPr="00AD38BD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AD38BD" w:rsidRPr="00AD38BD">
        <w:rPr>
          <w:rFonts w:ascii="Times New Roman" w:hAnsi="Times New Roman"/>
          <w:color w:val="000000"/>
          <w:sz w:val="24"/>
          <w:szCs w:val="24"/>
        </w:rPr>
        <w:t>) и карбоплатина (</w:t>
      </w:r>
      <w:r w:rsidR="00AD38BD" w:rsidRPr="00AD38BD">
        <w:rPr>
          <w:rFonts w:ascii="Times New Roman" w:hAnsi="Times New Roman"/>
          <w:color w:val="000000"/>
          <w:sz w:val="24"/>
          <w:szCs w:val="24"/>
          <w:lang w:val="en-US"/>
        </w:rPr>
        <w:t>AUC</w:t>
      </w:r>
      <w:r w:rsidR="00AD38BD" w:rsidRPr="00AD38BD">
        <w:rPr>
          <w:rFonts w:ascii="Times New Roman" w:hAnsi="Times New Roman"/>
          <w:color w:val="000000"/>
          <w:sz w:val="24"/>
          <w:szCs w:val="24"/>
        </w:rPr>
        <w:t xml:space="preserve"> = 6) вместе с </w:t>
      </w:r>
      <w:r w:rsidR="000A2DD5">
        <w:rPr>
          <w:rFonts w:ascii="Times New Roman" w:hAnsi="Times New Roman"/>
          <w:color w:val="000000"/>
          <w:sz w:val="24"/>
          <w:szCs w:val="24"/>
        </w:rPr>
        <w:t>сорафенибом</w:t>
      </w:r>
      <w:r w:rsidR="00AD38BD" w:rsidRPr="00AD38BD">
        <w:rPr>
          <w:rFonts w:ascii="Times New Roman" w:hAnsi="Times New Roman"/>
          <w:color w:val="000000"/>
          <w:sz w:val="24"/>
          <w:szCs w:val="24"/>
        </w:rPr>
        <w:t xml:space="preserve"> (в дозе ≤ 400мг х 2 раза в день) с 3-х дневными перерывами (2 дня до и в день </w:t>
      </w:r>
      <w:r w:rsidR="00AD38BD" w:rsidRPr="00AD38BD">
        <w:rPr>
          <w:rFonts w:ascii="Times New Roman" w:hAnsi="Times New Roman"/>
          <w:color w:val="000000"/>
          <w:sz w:val="24"/>
          <w:szCs w:val="24"/>
        </w:rPr>
        <w:lastRenderedPageBreak/>
        <w:t xml:space="preserve">назначения паклитаксела/карбоплатина), не оказывало существенного влияния на фармакокинетику паклитаксела. </w:t>
      </w:r>
    </w:p>
    <w:p w14:paraId="270795CE" w14:textId="77777777" w:rsidR="00AD38BD" w:rsidRPr="00AD38BD" w:rsidRDefault="00AD38BD" w:rsidP="003579F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38BD">
        <w:rPr>
          <w:rFonts w:ascii="Times New Roman" w:hAnsi="Times New Roman"/>
          <w:color w:val="000000"/>
          <w:sz w:val="24"/>
          <w:szCs w:val="24"/>
        </w:rPr>
        <w:t>Одновременное применение паклитаксела (225 мг/м</w:t>
      </w:r>
      <w:r w:rsidRPr="00AD38BD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х 1 раз в 3 недели) и карбоплатина (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AUC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=6) вместе с </w:t>
      </w:r>
      <w:r w:rsidR="000A2DD5">
        <w:rPr>
          <w:rFonts w:ascii="Times New Roman" w:hAnsi="Times New Roman"/>
          <w:color w:val="000000"/>
          <w:sz w:val="24"/>
          <w:szCs w:val="24"/>
        </w:rPr>
        <w:t>сорафенибом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(400 мг х 2 раза в день непрерывно) сопровождается увеличением экспозиции сорафениба на 47%, паклитаксела на 29% и 6-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OH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паклитаксела на 50%. Изменений в фармакокинетике карбоплатина не отмечено. </w:t>
      </w:r>
    </w:p>
    <w:p w14:paraId="690AD4CD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38BD">
        <w:rPr>
          <w:rFonts w:ascii="Times New Roman" w:hAnsi="Times New Roman"/>
          <w:color w:val="000000"/>
          <w:sz w:val="24"/>
          <w:szCs w:val="24"/>
        </w:rPr>
        <w:t xml:space="preserve">Эти данные указывают на то, что нет необходимости в коррекции дозы, когда паклитаксел и карбоплатин назначаются одновременно с препаратом </w:t>
      </w:r>
      <w:r w:rsidR="000A2DD5">
        <w:rPr>
          <w:rFonts w:ascii="Times New Roman" w:hAnsi="Times New Roman"/>
          <w:color w:val="000000"/>
          <w:sz w:val="24"/>
          <w:szCs w:val="24"/>
        </w:rPr>
        <w:t>Ливониб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с 3-х дневными перерывами в приеме препарата </w:t>
      </w:r>
      <w:r w:rsidR="000A2DD5">
        <w:rPr>
          <w:rFonts w:ascii="Times New Roman" w:hAnsi="Times New Roman"/>
          <w:color w:val="000000"/>
          <w:sz w:val="24"/>
          <w:szCs w:val="24"/>
        </w:rPr>
        <w:t>Ливониб</w:t>
      </w:r>
      <w:r w:rsidRPr="00AD38BD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AD38BD">
        <w:rPr>
          <w:rFonts w:ascii="Times New Roman" w:hAnsi="Times New Roman"/>
          <w:color w:val="000000"/>
          <w:sz w:val="24"/>
          <w:szCs w:val="24"/>
        </w:rPr>
        <w:t>(2 дня до и в день назначения паклитаксела/карбоплатина).</w:t>
      </w:r>
      <w:r w:rsidR="000A2D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Клиническое значение </w:t>
      </w:r>
      <w:r w:rsidR="000A2DD5">
        <w:rPr>
          <w:rFonts w:ascii="Times New Roman" w:hAnsi="Times New Roman"/>
          <w:color w:val="000000"/>
          <w:sz w:val="24"/>
          <w:szCs w:val="24"/>
        </w:rPr>
        <w:t>повышения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экспозиции сорафениба и паклитаксела при одновременном </w:t>
      </w:r>
      <w:r w:rsidR="000A2DD5">
        <w:rPr>
          <w:rFonts w:ascii="Times New Roman" w:hAnsi="Times New Roman"/>
          <w:color w:val="000000"/>
          <w:sz w:val="24"/>
          <w:szCs w:val="24"/>
        </w:rPr>
        <w:t>приеме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с </w:t>
      </w:r>
      <w:r w:rsidR="000A2DD5">
        <w:rPr>
          <w:rFonts w:ascii="Times New Roman" w:hAnsi="Times New Roman"/>
          <w:color w:val="000000"/>
          <w:sz w:val="24"/>
          <w:szCs w:val="24"/>
        </w:rPr>
        <w:t>сорафенибом</w:t>
      </w:r>
      <w:r w:rsidRPr="00AD38BD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без перерыва неизвестно. </w:t>
      </w:r>
    </w:p>
    <w:p w14:paraId="5F92BBED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D38BD">
        <w:rPr>
          <w:rFonts w:ascii="Times New Roman" w:hAnsi="Times New Roman"/>
          <w:i/>
          <w:color w:val="000000"/>
          <w:sz w:val="24"/>
          <w:szCs w:val="24"/>
        </w:rPr>
        <w:t>Капецитабин</w:t>
      </w:r>
    </w:p>
    <w:p w14:paraId="1B404BD1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38BD">
        <w:rPr>
          <w:rFonts w:ascii="Times New Roman" w:hAnsi="Times New Roman"/>
          <w:color w:val="000000"/>
          <w:sz w:val="24"/>
          <w:szCs w:val="24"/>
        </w:rPr>
        <w:t>Одновременное применение капецитабина  (750-1050 мг/ м</w:t>
      </w:r>
      <w:r w:rsidRPr="00AD38BD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х 2 раза в день  с 1 по  14 дни каждые 21 день)  и </w:t>
      </w:r>
      <w:r w:rsidR="000A2DD5">
        <w:rPr>
          <w:rFonts w:ascii="Times New Roman" w:hAnsi="Times New Roman"/>
          <w:color w:val="000000"/>
          <w:sz w:val="24"/>
          <w:szCs w:val="24"/>
        </w:rPr>
        <w:t>сорафениба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(200 или 400 мг х 2 раза в день непрерывно длительно) не приводило к значительным изменениям в экспозиции сорафениба, но при этом отмечалось увеличение экспозиции капецитабина на 15-50% и экспозиции 5-фторурацила на  0-52%. Клиническое значение этого небольшого до умеренного увеличения в экспозиции капецетабина и 5-фторурацила при одновременном применении </w:t>
      </w:r>
      <w:r w:rsidR="000A2DD5">
        <w:rPr>
          <w:rFonts w:ascii="Times New Roman" w:hAnsi="Times New Roman"/>
          <w:color w:val="000000"/>
          <w:sz w:val="24"/>
          <w:szCs w:val="24"/>
        </w:rPr>
        <w:t xml:space="preserve">сорафениба 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неизвестно. </w:t>
      </w:r>
    </w:p>
    <w:p w14:paraId="0CA946CD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D38BD">
        <w:rPr>
          <w:rFonts w:ascii="Times New Roman" w:hAnsi="Times New Roman"/>
          <w:i/>
          <w:color w:val="000000"/>
          <w:sz w:val="24"/>
          <w:szCs w:val="24"/>
        </w:rPr>
        <w:t>Доксорубицин/Иринотекан</w:t>
      </w:r>
    </w:p>
    <w:p w14:paraId="550DF0F3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38BD">
        <w:rPr>
          <w:rFonts w:ascii="Times New Roman" w:hAnsi="Times New Roman"/>
          <w:color w:val="000000"/>
          <w:sz w:val="24"/>
          <w:szCs w:val="24"/>
        </w:rPr>
        <w:t xml:space="preserve">Одновременное назначение сорафениба и доксорубицина приводит к увеличению показателя 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AUC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доксорубицина на 21%. При одновременном назначении </w:t>
      </w:r>
      <w:r w:rsidR="000A2DD5">
        <w:rPr>
          <w:rFonts w:ascii="Times New Roman" w:hAnsi="Times New Roman"/>
          <w:color w:val="000000"/>
          <w:sz w:val="24"/>
          <w:szCs w:val="24"/>
        </w:rPr>
        <w:t>сорафениба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и иринотекана, активный метаболит которого 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SN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-38 в дальнейшем метаболизируется с участием 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UGT</w:t>
      </w:r>
      <w:r w:rsidRPr="00AD38BD">
        <w:rPr>
          <w:rFonts w:ascii="Times New Roman" w:hAnsi="Times New Roman"/>
          <w:color w:val="000000"/>
          <w:sz w:val="24"/>
          <w:szCs w:val="24"/>
        </w:rPr>
        <w:t>1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1, отмечалось увеличение показателя 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AUC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SN</w:t>
      </w:r>
      <w:r w:rsidRPr="00AD38BD">
        <w:rPr>
          <w:rFonts w:ascii="Times New Roman" w:hAnsi="Times New Roman"/>
          <w:color w:val="000000"/>
          <w:sz w:val="24"/>
          <w:szCs w:val="24"/>
        </w:rPr>
        <w:t>-38 на 67</w:t>
      </w:r>
      <w:r w:rsidRPr="00AD38BD">
        <w:rPr>
          <w:rFonts w:ascii="Times New Roman" w:hAnsi="Times New Roman"/>
          <w:color w:val="000000"/>
          <w:sz w:val="24"/>
          <w:szCs w:val="24"/>
        </w:rPr>
        <w:noBreakHyphen/>
        <w:t xml:space="preserve">120% и увеличение показателя 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AUC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иринотекана на 26-42 %. Клиническое значение данных наблюдений неизвестно (см. раздел 4.4). </w:t>
      </w:r>
    </w:p>
    <w:p w14:paraId="12E18940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D38BD">
        <w:rPr>
          <w:rFonts w:ascii="Times New Roman" w:hAnsi="Times New Roman"/>
          <w:i/>
          <w:color w:val="000000"/>
          <w:sz w:val="24"/>
          <w:szCs w:val="24"/>
        </w:rPr>
        <w:t xml:space="preserve">Доцетаксел </w:t>
      </w:r>
    </w:p>
    <w:p w14:paraId="715B1019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38BD">
        <w:rPr>
          <w:rFonts w:ascii="Times New Roman" w:hAnsi="Times New Roman"/>
          <w:color w:val="000000"/>
          <w:sz w:val="24"/>
          <w:szCs w:val="24"/>
        </w:rPr>
        <w:t>Одновременное применение доцетаксела (по 75 или 100 мг/м</w:t>
      </w:r>
      <w:r w:rsidRPr="00AD38BD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2 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однократно через каждые 21 день) и </w:t>
      </w:r>
      <w:r w:rsidR="000A2DD5">
        <w:rPr>
          <w:rFonts w:ascii="Times New Roman" w:hAnsi="Times New Roman"/>
          <w:color w:val="000000"/>
          <w:sz w:val="24"/>
          <w:szCs w:val="24"/>
        </w:rPr>
        <w:t>сорафениба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(200 или 400 мг х 2 раза в день со 2 по 19 день в течение 21-дневного цикла) с 3-х дневными перерывами до и после назначения доцетаксела сопровождается увеличением AUC и </w:t>
      </w:r>
      <w:r w:rsidRPr="00AD38BD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AD38BD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ma</w:t>
      </w:r>
      <w:r w:rsidRPr="00AD38BD">
        <w:rPr>
          <w:rFonts w:ascii="Times New Roman" w:hAnsi="Times New Roman"/>
          <w:color w:val="000000"/>
          <w:sz w:val="24"/>
          <w:szCs w:val="24"/>
          <w:vertAlign w:val="subscript"/>
        </w:rPr>
        <w:t>х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доцетаксела соответственно на 36-80 % и 16-32 %. Рекомендовано соблюдать осторожность при совместном назначении препарата </w:t>
      </w:r>
      <w:r w:rsidR="000A2DD5">
        <w:rPr>
          <w:rFonts w:ascii="Times New Roman" w:hAnsi="Times New Roman"/>
          <w:color w:val="000000"/>
          <w:sz w:val="24"/>
          <w:szCs w:val="24"/>
        </w:rPr>
        <w:t>Ливониб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и доцетаксела (см. раздел 4.4).  </w:t>
      </w:r>
    </w:p>
    <w:p w14:paraId="4D858398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D38BD">
        <w:rPr>
          <w:rFonts w:ascii="Times New Roman" w:hAnsi="Times New Roman"/>
          <w:i/>
          <w:color w:val="000000"/>
          <w:sz w:val="24"/>
          <w:szCs w:val="24"/>
        </w:rPr>
        <w:t>Комбинация с другими препаратами</w:t>
      </w:r>
    </w:p>
    <w:p w14:paraId="16164972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D38BD">
        <w:rPr>
          <w:rFonts w:ascii="Times New Roman" w:hAnsi="Times New Roman"/>
          <w:i/>
          <w:color w:val="000000"/>
          <w:sz w:val="24"/>
          <w:szCs w:val="24"/>
        </w:rPr>
        <w:t xml:space="preserve">Неомицин </w:t>
      </w:r>
    </w:p>
    <w:p w14:paraId="700C4B1D" w14:textId="77777777" w:rsidR="00AD38BD" w:rsidRPr="00AD38BD" w:rsidRDefault="00AD38BD" w:rsidP="00AD38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38BD">
        <w:rPr>
          <w:rFonts w:ascii="Times New Roman" w:hAnsi="Times New Roman"/>
          <w:color w:val="000000"/>
          <w:sz w:val="24"/>
          <w:szCs w:val="24"/>
        </w:rPr>
        <w:t>Одновременн</w:t>
      </w:r>
      <w:r w:rsidR="000A2DD5">
        <w:rPr>
          <w:rFonts w:ascii="Times New Roman" w:hAnsi="Times New Roman"/>
          <w:color w:val="000000"/>
          <w:sz w:val="24"/>
          <w:szCs w:val="24"/>
        </w:rPr>
        <w:t>ый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2DD5">
        <w:rPr>
          <w:rFonts w:ascii="Times New Roman" w:hAnsi="Times New Roman"/>
          <w:color w:val="000000"/>
          <w:sz w:val="24"/>
          <w:szCs w:val="24"/>
        </w:rPr>
        <w:t>прием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 неомицина, несистемного антибактериального препарата, применяемого для эрадикации желудочно-кишечной флоры, воздействует на энтерогепатическую циркуляцию сорафениба</w:t>
      </w:r>
      <w:r w:rsidRPr="00AD38BD">
        <w:rPr>
          <w:rFonts w:ascii="Times New Roman" w:hAnsi="Times New Roman"/>
          <w:bCs/>
          <w:color w:val="000000"/>
          <w:sz w:val="24"/>
          <w:szCs w:val="24"/>
        </w:rPr>
        <w:t xml:space="preserve"> (см. раздел 5.2, Метаболиз</w:t>
      </w:r>
      <w:r w:rsidR="000A2DD5">
        <w:rPr>
          <w:rFonts w:ascii="Times New Roman" w:hAnsi="Times New Roman"/>
          <w:bCs/>
          <w:color w:val="000000"/>
          <w:sz w:val="24"/>
          <w:szCs w:val="24"/>
        </w:rPr>
        <w:t>м</w:t>
      </w:r>
      <w:r w:rsidRPr="00AD38BD">
        <w:rPr>
          <w:rFonts w:ascii="Times New Roman" w:hAnsi="Times New Roman"/>
          <w:bCs/>
          <w:color w:val="000000"/>
          <w:sz w:val="24"/>
          <w:szCs w:val="24"/>
        </w:rPr>
        <w:t xml:space="preserve"> и Элиминация</w:t>
      </w:r>
      <w:r w:rsidRPr="00AD38BD">
        <w:rPr>
          <w:rFonts w:ascii="Times New Roman" w:hAnsi="Times New Roman"/>
          <w:bCs/>
          <w:iCs/>
          <w:color w:val="000000"/>
          <w:sz w:val="24"/>
          <w:szCs w:val="24"/>
        </w:rPr>
        <w:t xml:space="preserve">), </w:t>
      </w:r>
      <w:r w:rsidRPr="00AD38BD">
        <w:rPr>
          <w:rFonts w:ascii="Times New Roman" w:hAnsi="Times New Roman"/>
          <w:color w:val="000000"/>
          <w:sz w:val="24"/>
          <w:szCs w:val="24"/>
        </w:rPr>
        <w:t xml:space="preserve">приводя к снижению экспозиции сорафениба. В течение 5 дней лечения неомицином здоровых добровольцев, средняя биодоступность сорафениба снижалась до 54%. Клиническая значимость этих данных неизвестна. Эффекты других антибиотиков не изучены, однако вероятно эти эффекты будут обусловлены их способностью воздействовать с микроорганизмами, обладающих глюкуронидазной активностью.  </w:t>
      </w:r>
    </w:p>
    <w:bookmarkEnd w:id="8"/>
    <w:p w14:paraId="22AA9A4A" w14:textId="77777777" w:rsidR="00CE7F7F" w:rsidRPr="008C2E13" w:rsidRDefault="00CE7F7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EDBB04" w14:textId="77777777" w:rsidR="00B05BD1" w:rsidRPr="008C2E13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4.6 </w:t>
      </w:r>
      <w:r w:rsidRPr="008C2E13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Фертильность</w:t>
      </w: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8C2E13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беременность</w:t>
      </w: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C2E13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и</w:t>
      </w: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C2E13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лактация</w:t>
      </w: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0C2C296D" w14:textId="77777777" w:rsidR="00F829DB" w:rsidRPr="008924CE" w:rsidRDefault="00F829DB" w:rsidP="00F829DB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bookmarkStart w:id="9" w:name="_Hlk38289377"/>
      <w:r w:rsidRPr="008924CE">
        <w:rPr>
          <w:rFonts w:ascii="Times New Roman" w:hAnsi="Times New Roman"/>
          <w:i/>
          <w:color w:val="000000"/>
          <w:sz w:val="24"/>
          <w:szCs w:val="24"/>
        </w:rPr>
        <w:t>Беременность</w:t>
      </w:r>
    </w:p>
    <w:p w14:paraId="153DEB14" w14:textId="77777777" w:rsidR="00F829DB" w:rsidRPr="00DD3394" w:rsidRDefault="00F829DB" w:rsidP="00F829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0" w:name="_Toc168282685"/>
      <w:bookmarkStart w:id="11" w:name="_Toc168282564"/>
      <w:bookmarkStart w:id="12" w:name="_Toc168278239"/>
      <w:bookmarkStart w:id="13" w:name="_Toc168214218"/>
      <w:r w:rsidRPr="00134136">
        <w:rPr>
          <w:rFonts w:ascii="Times New Roman" w:hAnsi="Times New Roman"/>
          <w:sz w:val="24"/>
          <w:szCs w:val="24"/>
        </w:rPr>
        <w:t xml:space="preserve">Данных о применении сорафениба у беременных женщин нет. Исследования на животных </w:t>
      </w:r>
      <w:r>
        <w:rPr>
          <w:rFonts w:ascii="Times New Roman" w:hAnsi="Times New Roman"/>
          <w:sz w:val="24"/>
          <w:szCs w:val="24"/>
        </w:rPr>
        <w:t>выявили</w:t>
      </w:r>
      <w:r w:rsidRPr="00134136">
        <w:rPr>
          <w:rFonts w:ascii="Times New Roman" w:hAnsi="Times New Roman"/>
          <w:sz w:val="24"/>
          <w:szCs w:val="24"/>
        </w:rPr>
        <w:t xml:space="preserve"> репродуктивную токсичность, включая пороки разв</w:t>
      </w:r>
      <w:r w:rsidRPr="00DD3394">
        <w:rPr>
          <w:rFonts w:ascii="Times New Roman" w:hAnsi="Times New Roman"/>
          <w:sz w:val="24"/>
          <w:szCs w:val="24"/>
        </w:rPr>
        <w:t xml:space="preserve">ития (см. раздел 5.3). У крыс было продемонстрировано, что сорафениб и его метаболиты проникают через </w:t>
      </w:r>
      <w:r>
        <w:rPr>
          <w:rFonts w:ascii="Times New Roman" w:hAnsi="Times New Roman"/>
          <w:sz w:val="24"/>
          <w:szCs w:val="24"/>
        </w:rPr>
        <w:t>плацентарный барьер</w:t>
      </w:r>
      <w:r w:rsidRPr="00DD3394">
        <w:rPr>
          <w:rFonts w:ascii="Times New Roman" w:hAnsi="Times New Roman"/>
          <w:sz w:val="24"/>
          <w:szCs w:val="24"/>
        </w:rPr>
        <w:t xml:space="preserve">, и предполагается, что сорафениб оказывает вредное </w:t>
      </w:r>
      <w:r w:rsidRPr="00DD3394">
        <w:rPr>
          <w:rFonts w:ascii="Times New Roman" w:hAnsi="Times New Roman"/>
          <w:sz w:val="24"/>
          <w:szCs w:val="24"/>
        </w:rPr>
        <w:lastRenderedPageBreak/>
        <w:t xml:space="preserve">воздействие на плод. Сорафениб не следует применять во время беременности без </w:t>
      </w:r>
      <w:r>
        <w:rPr>
          <w:rFonts w:ascii="Times New Roman" w:hAnsi="Times New Roman"/>
          <w:sz w:val="24"/>
          <w:szCs w:val="24"/>
        </w:rPr>
        <w:t>острой</w:t>
      </w:r>
      <w:r w:rsidRPr="00DD3394">
        <w:rPr>
          <w:rFonts w:ascii="Times New Roman" w:hAnsi="Times New Roman"/>
          <w:sz w:val="24"/>
          <w:szCs w:val="24"/>
        </w:rPr>
        <w:t xml:space="preserve"> необходимости</w:t>
      </w:r>
      <w:r w:rsidR="00D66168">
        <w:rPr>
          <w:rFonts w:ascii="Times New Roman" w:hAnsi="Times New Roman"/>
          <w:sz w:val="24"/>
          <w:szCs w:val="24"/>
          <w:lang w:val="kk-KZ"/>
        </w:rPr>
        <w:t xml:space="preserve"> и только </w:t>
      </w:r>
      <w:r w:rsidRPr="00DD3394">
        <w:rPr>
          <w:rFonts w:ascii="Times New Roman" w:hAnsi="Times New Roman"/>
          <w:sz w:val="24"/>
          <w:szCs w:val="24"/>
        </w:rPr>
        <w:t>после тщательн</w:t>
      </w:r>
      <w:r>
        <w:rPr>
          <w:rFonts w:ascii="Times New Roman" w:hAnsi="Times New Roman"/>
          <w:sz w:val="24"/>
          <w:szCs w:val="24"/>
        </w:rPr>
        <w:t xml:space="preserve">ой оценки пользы для </w:t>
      </w:r>
      <w:r w:rsidRPr="00DD3394">
        <w:rPr>
          <w:rFonts w:ascii="Times New Roman" w:hAnsi="Times New Roman"/>
          <w:sz w:val="24"/>
          <w:szCs w:val="24"/>
        </w:rPr>
        <w:t>матери и риск</w:t>
      </w:r>
      <w:r>
        <w:rPr>
          <w:rFonts w:ascii="Times New Roman" w:hAnsi="Times New Roman"/>
          <w:sz w:val="24"/>
          <w:szCs w:val="24"/>
        </w:rPr>
        <w:t>ов</w:t>
      </w:r>
      <w:r w:rsidRPr="00DD3394">
        <w:rPr>
          <w:rFonts w:ascii="Times New Roman" w:hAnsi="Times New Roman"/>
          <w:sz w:val="24"/>
          <w:szCs w:val="24"/>
        </w:rPr>
        <w:t xml:space="preserve"> для плода.</w:t>
      </w:r>
    </w:p>
    <w:p w14:paraId="037025C0" w14:textId="77777777" w:rsidR="00F829DB" w:rsidRPr="00DD3394" w:rsidRDefault="00F829DB" w:rsidP="00F829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394">
        <w:rPr>
          <w:rFonts w:ascii="Times New Roman" w:hAnsi="Times New Roman"/>
          <w:sz w:val="24"/>
          <w:szCs w:val="24"/>
        </w:rPr>
        <w:t xml:space="preserve">Женщины </w:t>
      </w:r>
      <w:r>
        <w:rPr>
          <w:rFonts w:ascii="Times New Roman" w:hAnsi="Times New Roman"/>
          <w:sz w:val="24"/>
          <w:szCs w:val="24"/>
        </w:rPr>
        <w:t>с детородным потенциалом</w:t>
      </w:r>
      <w:r w:rsidRPr="00DD3394">
        <w:rPr>
          <w:rFonts w:ascii="Times New Roman" w:hAnsi="Times New Roman"/>
          <w:sz w:val="24"/>
          <w:szCs w:val="24"/>
        </w:rPr>
        <w:t xml:space="preserve"> должны использовать эффективн</w:t>
      </w:r>
      <w:r>
        <w:rPr>
          <w:rFonts w:ascii="Times New Roman" w:hAnsi="Times New Roman"/>
          <w:sz w:val="24"/>
          <w:szCs w:val="24"/>
        </w:rPr>
        <w:t>ые средства</w:t>
      </w:r>
      <w:r w:rsidRPr="00DD3394">
        <w:rPr>
          <w:rFonts w:ascii="Times New Roman" w:hAnsi="Times New Roman"/>
          <w:sz w:val="24"/>
          <w:szCs w:val="24"/>
        </w:rPr>
        <w:t xml:space="preserve"> контрацепци</w:t>
      </w:r>
      <w:r>
        <w:rPr>
          <w:rFonts w:ascii="Times New Roman" w:hAnsi="Times New Roman"/>
          <w:sz w:val="24"/>
          <w:szCs w:val="24"/>
        </w:rPr>
        <w:t>и</w:t>
      </w:r>
      <w:r w:rsidRPr="00DD3394">
        <w:rPr>
          <w:rFonts w:ascii="Times New Roman" w:hAnsi="Times New Roman"/>
          <w:sz w:val="24"/>
          <w:szCs w:val="24"/>
        </w:rPr>
        <w:t xml:space="preserve"> во время лечения.</w:t>
      </w:r>
    </w:p>
    <w:p w14:paraId="0064F52B" w14:textId="77777777" w:rsidR="00F829DB" w:rsidRPr="00DD3394" w:rsidRDefault="00F829DB" w:rsidP="00F829DB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D3394">
        <w:rPr>
          <w:rFonts w:ascii="Times New Roman" w:hAnsi="Times New Roman"/>
          <w:i/>
          <w:color w:val="000000"/>
          <w:sz w:val="24"/>
          <w:szCs w:val="24"/>
        </w:rPr>
        <w:t>Кормление грудью</w:t>
      </w:r>
    </w:p>
    <w:p w14:paraId="3C1E31DC" w14:textId="77777777" w:rsidR="00F829DB" w:rsidRPr="00DD3394" w:rsidRDefault="00F829DB" w:rsidP="00F829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394">
        <w:rPr>
          <w:rFonts w:ascii="Times New Roman" w:hAnsi="Times New Roman"/>
          <w:sz w:val="24"/>
          <w:szCs w:val="24"/>
        </w:rPr>
        <w:t>Неизвестно, выделяется ли сорафениб с грудным молоком</w:t>
      </w:r>
      <w:r w:rsidR="009E038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человека</w:t>
      </w:r>
      <w:r w:rsidRPr="00DD3394">
        <w:rPr>
          <w:rFonts w:ascii="Times New Roman" w:hAnsi="Times New Roman"/>
          <w:sz w:val="24"/>
          <w:szCs w:val="24"/>
        </w:rPr>
        <w:t xml:space="preserve">. У животных сорафениб и/или его метаболиты выделялись с молоком. Поскольку сорафениб может повлиять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DD3394">
        <w:rPr>
          <w:rFonts w:ascii="Times New Roman" w:hAnsi="Times New Roman"/>
          <w:sz w:val="24"/>
          <w:szCs w:val="24"/>
        </w:rPr>
        <w:t>рост и развити</w:t>
      </w:r>
      <w:r>
        <w:rPr>
          <w:rFonts w:ascii="Times New Roman" w:hAnsi="Times New Roman"/>
          <w:sz w:val="24"/>
          <w:szCs w:val="24"/>
        </w:rPr>
        <w:t>е ребенка</w:t>
      </w:r>
      <w:r w:rsidRPr="00DD3394">
        <w:rPr>
          <w:rFonts w:ascii="Times New Roman" w:hAnsi="Times New Roman"/>
          <w:sz w:val="24"/>
          <w:szCs w:val="24"/>
        </w:rPr>
        <w:t xml:space="preserve"> (см. раздел 5.3), женщинам следует отказаться от грудного вскармливания в период </w:t>
      </w:r>
      <w:r>
        <w:rPr>
          <w:rFonts w:ascii="Times New Roman" w:hAnsi="Times New Roman"/>
          <w:sz w:val="24"/>
          <w:szCs w:val="24"/>
        </w:rPr>
        <w:t>терапии</w:t>
      </w:r>
      <w:r w:rsidRPr="00DD3394">
        <w:rPr>
          <w:rFonts w:ascii="Times New Roman" w:hAnsi="Times New Roman"/>
          <w:sz w:val="24"/>
          <w:szCs w:val="24"/>
        </w:rPr>
        <w:t xml:space="preserve"> препаратом</w:t>
      </w:r>
      <w:r w:rsidR="00733000">
        <w:rPr>
          <w:rFonts w:ascii="Times New Roman" w:hAnsi="Times New Roman"/>
          <w:sz w:val="24"/>
          <w:szCs w:val="24"/>
        </w:rPr>
        <w:t xml:space="preserve"> Ливониб</w:t>
      </w:r>
      <w:r w:rsidRPr="00DD3394">
        <w:rPr>
          <w:rFonts w:ascii="Times New Roman" w:hAnsi="Times New Roman"/>
          <w:sz w:val="24"/>
          <w:szCs w:val="24"/>
        </w:rPr>
        <w:t xml:space="preserve">. </w:t>
      </w:r>
    </w:p>
    <w:bookmarkEnd w:id="10"/>
    <w:bookmarkEnd w:id="11"/>
    <w:bookmarkEnd w:id="12"/>
    <w:bookmarkEnd w:id="13"/>
    <w:p w14:paraId="6D6BAA73" w14:textId="77777777" w:rsidR="00F829DB" w:rsidRPr="00DD3394" w:rsidRDefault="00F829DB" w:rsidP="00F829D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D3394">
        <w:rPr>
          <w:rFonts w:ascii="Times New Roman" w:hAnsi="Times New Roman"/>
          <w:i/>
          <w:iCs/>
          <w:sz w:val="24"/>
          <w:szCs w:val="24"/>
        </w:rPr>
        <w:t xml:space="preserve">Фертильность </w:t>
      </w:r>
    </w:p>
    <w:p w14:paraId="5676EAB9" w14:textId="0F9F14E8" w:rsidR="00F829DB" w:rsidRPr="00DD3394" w:rsidRDefault="00F829DB" w:rsidP="00F829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394">
        <w:rPr>
          <w:rFonts w:ascii="Times New Roman" w:hAnsi="Times New Roman"/>
          <w:sz w:val="24"/>
          <w:szCs w:val="24"/>
        </w:rPr>
        <w:t>Результаты исследований на животных указывают на то, что сорафениб может снижать мужскую и женскую фертильность (см. раздел 5.3).</w:t>
      </w:r>
    </w:p>
    <w:bookmarkEnd w:id="9"/>
    <w:p w14:paraId="2B17993E" w14:textId="77777777" w:rsidR="0078568D" w:rsidRPr="008C2E13" w:rsidRDefault="0078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5EB7CA" w14:textId="77777777" w:rsidR="00CE7F7F" w:rsidRPr="008C2E13" w:rsidRDefault="00DB406A" w:rsidP="00CE7F7F">
      <w:pPr>
        <w:spacing w:after="0" w:line="240" w:lineRule="auto"/>
        <w:jc w:val="both"/>
        <w:rPr>
          <w:b/>
          <w:i/>
          <w:sz w:val="24"/>
          <w:szCs w:val="24"/>
        </w:rPr>
      </w:pP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8C2E13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14" w:name="2175220282"/>
    </w:p>
    <w:p w14:paraId="23BD992D" w14:textId="77777777" w:rsidR="002E04B7" w:rsidRDefault="005E6FA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5E6FA1">
        <w:rPr>
          <w:rFonts w:ascii="Times New Roman" w:hAnsi="Times New Roman"/>
          <w:sz w:val="24"/>
          <w:szCs w:val="24"/>
        </w:rPr>
        <w:t>сследований по влиянию на способность управлять</w:t>
      </w:r>
      <w:r>
        <w:rPr>
          <w:rFonts w:ascii="Times New Roman" w:hAnsi="Times New Roman"/>
          <w:sz w:val="24"/>
          <w:szCs w:val="24"/>
        </w:rPr>
        <w:t xml:space="preserve"> автотранспортом</w:t>
      </w:r>
      <w:r w:rsidRPr="005E6FA1">
        <w:rPr>
          <w:rFonts w:ascii="Times New Roman" w:hAnsi="Times New Roman"/>
          <w:sz w:val="24"/>
          <w:szCs w:val="24"/>
        </w:rPr>
        <w:t xml:space="preserve"> не проводилось. Нет доказательств </w:t>
      </w:r>
      <w:r>
        <w:rPr>
          <w:rFonts w:ascii="Times New Roman" w:hAnsi="Times New Roman"/>
          <w:sz w:val="24"/>
          <w:szCs w:val="24"/>
        </w:rPr>
        <w:t xml:space="preserve">по воздействию сорафениба </w:t>
      </w:r>
      <w:r w:rsidRPr="005E6FA1">
        <w:rPr>
          <w:rFonts w:ascii="Times New Roman" w:hAnsi="Times New Roman"/>
          <w:sz w:val="24"/>
          <w:szCs w:val="24"/>
        </w:rPr>
        <w:t xml:space="preserve">на способность управлять автомобилем или </w:t>
      </w:r>
      <w:r>
        <w:rPr>
          <w:rFonts w:ascii="Times New Roman" w:hAnsi="Times New Roman"/>
          <w:sz w:val="24"/>
          <w:szCs w:val="24"/>
        </w:rPr>
        <w:t>потенциально опасными</w:t>
      </w:r>
      <w:r w:rsidRPr="005E6FA1">
        <w:rPr>
          <w:rFonts w:ascii="Times New Roman" w:hAnsi="Times New Roman"/>
          <w:sz w:val="24"/>
          <w:szCs w:val="24"/>
        </w:rPr>
        <w:t xml:space="preserve"> механизмами.</w:t>
      </w:r>
    </w:p>
    <w:p w14:paraId="3BAA1031" w14:textId="77777777" w:rsidR="005E6FA1" w:rsidRPr="008C2E13" w:rsidRDefault="005E6FA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3BEE2A" w14:textId="77777777" w:rsidR="009D67EC" w:rsidRPr="008C2E13" w:rsidRDefault="009D67EC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14"/>
    </w:p>
    <w:p w14:paraId="442C63E0" w14:textId="77777777" w:rsidR="00A923FD" w:rsidRPr="00A923FD" w:rsidRDefault="00A923FD" w:rsidP="00A92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3FD">
        <w:rPr>
          <w:rFonts w:ascii="Times New Roman" w:hAnsi="Times New Roman"/>
          <w:sz w:val="24"/>
          <w:szCs w:val="24"/>
        </w:rPr>
        <w:t xml:space="preserve">Наиболее серьезные побочные действия </w:t>
      </w:r>
      <w:r w:rsidR="0025095A">
        <w:rPr>
          <w:rFonts w:ascii="Times New Roman" w:hAnsi="Times New Roman"/>
          <w:sz w:val="24"/>
          <w:szCs w:val="24"/>
        </w:rPr>
        <w:t>сорафениба</w:t>
      </w:r>
      <w:r w:rsidRPr="00A923FD">
        <w:rPr>
          <w:rFonts w:ascii="Times New Roman" w:hAnsi="Times New Roman"/>
          <w:sz w:val="24"/>
          <w:szCs w:val="24"/>
        </w:rPr>
        <w:t xml:space="preserve"> включают инфаркт миокарда/ишемию, перфорацию желудочно-кишечного тракта, лекарственный гепатит, кровотечения и гипертонический криз.</w:t>
      </w:r>
    </w:p>
    <w:p w14:paraId="76005F10" w14:textId="77777777" w:rsidR="00A923FD" w:rsidRPr="00A923FD" w:rsidRDefault="00A923FD" w:rsidP="00A92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3FD">
        <w:rPr>
          <w:rFonts w:ascii="Times New Roman" w:hAnsi="Times New Roman"/>
          <w:sz w:val="24"/>
          <w:szCs w:val="24"/>
        </w:rPr>
        <w:t xml:space="preserve">Наиболее частые побочные действия </w:t>
      </w:r>
      <w:r w:rsidR="0025095A">
        <w:rPr>
          <w:rFonts w:ascii="Times New Roman" w:hAnsi="Times New Roman"/>
          <w:sz w:val="24"/>
          <w:szCs w:val="24"/>
        </w:rPr>
        <w:t>сорафениба</w:t>
      </w:r>
      <w:r w:rsidRPr="00A923FD">
        <w:rPr>
          <w:rFonts w:ascii="Times New Roman" w:hAnsi="Times New Roman"/>
          <w:sz w:val="24"/>
          <w:szCs w:val="24"/>
        </w:rPr>
        <w:t xml:space="preserve"> включают диарею, утомляемость, алопецию, инфекции и ладонно-подошвенную кожную реакцию (соответствует ладонно-подошвенную эритродизэстезию из MedDRA), сыпь.</w:t>
      </w:r>
    </w:p>
    <w:p w14:paraId="074BEF16" w14:textId="77777777" w:rsidR="00957BAF" w:rsidRDefault="00A923FD" w:rsidP="00A923F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23FD">
        <w:rPr>
          <w:rFonts w:ascii="Times New Roman" w:hAnsi="Times New Roman"/>
          <w:sz w:val="24"/>
          <w:szCs w:val="24"/>
        </w:rPr>
        <w:t xml:space="preserve">Побочные реакции, отмеченные в многочисленных клинических исследованиях или при </w:t>
      </w:r>
      <w:r>
        <w:rPr>
          <w:rFonts w:ascii="Times New Roman" w:hAnsi="Times New Roman"/>
          <w:sz w:val="24"/>
          <w:szCs w:val="24"/>
        </w:rPr>
        <w:t>пострегистрационном</w:t>
      </w:r>
      <w:r w:rsidRPr="00A923FD">
        <w:rPr>
          <w:rFonts w:ascii="Times New Roman" w:hAnsi="Times New Roman"/>
          <w:sz w:val="24"/>
          <w:szCs w:val="24"/>
        </w:rPr>
        <w:t xml:space="preserve"> применении, перечислены ниже в таблице 1 </w:t>
      </w:r>
      <w:r w:rsidR="002E04B7" w:rsidRPr="008C2E13">
        <w:rPr>
          <w:rFonts w:ascii="Times New Roman" w:hAnsi="Times New Roman"/>
          <w:sz w:val="24"/>
          <w:szCs w:val="24"/>
        </w:rPr>
        <w:t>в соответствии с</w:t>
      </w:r>
      <w:r w:rsidR="004528E1" w:rsidRPr="008C2E13">
        <w:rPr>
          <w:rFonts w:ascii="Times New Roman" w:hAnsi="Times New Roman"/>
          <w:sz w:val="24"/>
          <w:szCs w:val="24"/>
        </w:rPr>
        <w:t xml:space="preserve"> </w:t>
      </w:r>
      <w:r w:rsidR="002E04B7" w:rsidRPr="008C2E13">
        <w:rPr>
          <w:rFonts w:ascii="Times New Roman" w:hAnsi="Times New Roman"/>
          <w:sz w:val="24"/>
          <w:szCs w:val="24"/>
        </w:rPr>
        <w:t>системно-органной классификацией</w:t>
      </w:r>
      <w:r w:rsidR="004528E1" w:rsidRPr="008C2E13">
        <w:rPr>
          <w:rFonts w:ascii="Times New Roman" w:hAnsi="Times New Roman"/>
          <w:sz w:val="24"/>
          <w:szCs w:val="24"/>
        </w:rPr>
        <w:t xml:space="preserve"> и с частотой их возни</w:t>
      </w:r>
      <w:r w:rsidR="00957BAF" w:rsidRPr="008C2E13">
        <w:rPr>
          <w:rFonts w:ascii="Times New Roman" w:hAnsi="Times New Roman"/>
          <w:sz w:val="24"/>
          <w:szCs w:val="24"/>
        </w:rPr>
        <w:t>кновения (</w:t>
      </w:r>
      <w:r w:rsidR="00957BAF" w:rsidRPr="008C2E1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Определение частоты побочных явлений проводится в соответствии со следующими критериями: очень часто (≥ 1/10), часто (≥ от 1/100 до &lt; 1/10), нечасто (≥ от 1/1000 до &lt; 1/100), редко (≥ 1/10000 до  &lt; 1/1000), очень редко (&lt; 1/10000),</w:t>
      </w:r>
      <w:r w:rsidR="00957BAF" w:rsidRPr="008C2E13">
        <w:rPr>
          <w:rFonts w:ascii="Times New Roman" w:hAnsi="Times New Roman"/>
          <w:i/>
          <w:sz w:val="24"/>
          <w:szCs w:val="24"/>
        </w:rPr>
        <w:t xml:space="preserve"> неизвестно (невозможно оценить на основании имеющихся данных)</w:t>
      </w:r>
    </w:p>
    <w:p w14:paraId="071FE5A7" w14:textId="77777777" w:rsidR="00A923FD" w:rsidRPr="0025095A" w:rsidRDefault="00A923FD" w:rsidP="0025095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923FD">
        <w:rPr>
          <w:rFonts w:ascii="Times New Roman" w:hAnsi="Times New Roman"/>
          <w:iCs/>
          <w:sz w:val="24"/>
          <w:szCs w:val="24"/>
        </w:rPr>
        <w:t xml:space="preserve">Таблица 1: все нежелательные реакции, отмеченные у пациентов в ходе многократных клинических испытаний или при </w:t>
      </w:r>
      <w:r>
        <w:rPr>
          <w:rFonts w:ascii="Times New Roman" w:hAnsi="Times New Roman"/>
          <w:sz w:val="24"/>
          <w:szCs w:val="24"/>
        </w:rPr>
        <w:t>пострегистрационном</w:t>
      </w:r>
      <w:r w:rsidRPr="00A923FD">
        <w:rPr>
          <w:rFonts w:ascii="Times New Roman" w:hAnsi="Times New Roman"/>
          <w:sz w:val="24"/>
          <w:szCs w:val="24"/>
        </w:rPr>
        <w:t xml:space="preserve"> </w:t>
      </w:r>
      <w:r w:rsidRPr="00A923FD">
        <w:rPr>
          <w:rFonts w:ascii="Times New Roman" w:hAnsi="Times New Roman"/>
          <w:iCs/>
          <w:sz w:val="24"/>
          <w:szCs w:val="24"/>
        </w:rPr>
        <w:t>применении</w:t>
      </w:r>
    </w:p>
    <w:tbl>
      <w:tblPr>
        <w:tblW w:w="4962" w:type="pct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0"/>
        <w:gridCol w:w="1217"/>
        <w:gridCol w:w="2331"/>
        <w:gridCol w:w="1553"/>
        <w:gridCol w:w="1682"/>
        <w:gridCol w:w="1168"/>
      </w:tblGrid>
      <w:tr w:rsidR="00A923FD" w:rsidRPr="00A923FD" w14:paraId="4BCD3CEF" w14:textId="77777777" w:rsidTr="0025095A">
        <w:trPr>
          <w:cantSplit/>
          <w:tblHeader/>
        </w:trPr>
        <w:tc>
          <w:tcPr>
            <w:tcW w:w="617" w:type="pct"/>
            <w:shd w:val="clear" w:color="auto" w:fill="auto"/>
          </w:tcPr>
          <w:p w14:paraId="6DB9F628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>Класс систем органов</w:t>
            </w:r>
          </w:p>
        </w:tc>
        <w:tc>
          <w:tcPr>
            <w:tcW w:w="671" w:type="pct"/>
          </w:tcPr>
          <w:p w14:paraId="1225491B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>Очень часто</w:t>
            </w:r>
            <w:r w:rsidRPr="00A923FD"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</w:p>
        </w:tc>
        <w:tc>
          <w:tcPr>
            <w:tcW w:w="1285" w:type="pct"/>
          </w:tcPr>
          <w:p w14:paraId="3B724BED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 xml:space="preserve">Часто </w:t>
            </w:r>
            <w:r w:rsidRPr="00A923FD"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</w:p>
        </w:tc>
        <w:tc>
          <w:tcPr>
            <w:tcW w:w="856" w:type="pct"/>
          </w:tcPr>
          <w:p w14:paraId="2AD7A900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>Нечасто</w:t>
            </w:r>
            <w:r w:rsidRPr="00A923FD"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</w:p>
        </w:tc>
        <w:tc>
          <w:tcPr>
            <w:tcW w:w="927" w:type="pct"/>
          </w:tcPr>
          <w:p w14:paraId="2E7B400A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 xml:space="preserve">Редко </w:t>
            </w:r>
            <w:r w:rsidRPr="00A923FD"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</w:p>
        </w:tc>
        <w:tc>
          <w:tcPr>
            <w:tcW w:w="644" w:type="pct"/>
          </w:tcPr>
          <w:p w14:paraId="49548DB5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 xml:space="preserve">Неизвестно </w:t>
            </w:r>
          </w:p>
        </w:tc>
      </w:tr>
      <w:tr w:rsidR="00A923FD" w:rsidRPr="00A923FD" w14:paraId="66EABC88" w14:textId="77777777" w:rsidTr="0025095A">
        <w:trPr>
          <w:cantSplit/>
        </w:trPr>
        <w:tc>
          <w:tcPr>
            <w:tcW w:w="617" w:type="pct"/>
            <w:shd w:val="clear" w:color="auto" w:fill="auto"/>
          </w:tcPr>
          <w:p w14:paraId="1BA7710C" w14:textId="77777777" w:rsidR="00A923FD" w:rsidRPr="00A923FD" w:rsidRDefault="00A923FD" w:rsidP="00F47DBB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A923FD">
              <w:rPr>
                <w:rFonts w:ascii="Times New Roman" w:eastAsia="Batang" w:hAnsi="Times New Roman"/>
                <w:sz w:val="24"/>
                <w:szCs w:val="24"/>
              </w:rPr>
              <w:t>Инфекционные и паразитар-ные заболева-ния</w:t>
            </w:r>
          </w:p>
        </w:tc>
        <w:tc>
          <w:tcPr>
            <w:tcW w:w="671" w:type="pct"/>
          </w:tcPr>
          <w:p w14:paraId="01A89322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5" w:name="_Hlk38289753"/>
            <w:r w:rsidRPr="00A923FD">
              <w:rPr>
                <w:rFonts w:ascii="Times New Roman" w:hAnsi="Times New Roman"/>
                <w:sz w:val="24"/>
                <w:szCs w:val="24"/>
              </w:rPr>
              <w:t>инфекции</w:t>
            </w:r>
            <w:bookmarkEnd w:id="15"/>
          </w:p>
        </w:tc>
        <w:tc>
          <w:tcPr>
            <w:tcW w:w="1285" w:type="pct"/>
          </w:tcPr>
          <w:p w14:paraId="3B21348D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фолликулит </w:t>
            </w:r>
          </w:p>
        </w:tc>
        <w:tc>
          <w:tcPr>
            <w:tcW w:w="856" w:type="pct"/>
          </w:tcPr>
          <w:p w14:paraId="03E9DDB8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27" w:type="pct"/>
          </w:tcPr>
          <w:p w14:paraId="3DEB8847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44" w:type="pct"/>
          </w:tcPr>
          <w:p w14:paraId="0FD7DA9F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923FD" w:rsidRPr="00A923FD" w14:paraId="2D213AE5" w14:textId="77777777" w:rsidTr="0025095A">
        <w:trPr>
          <w:cantSplit/>
        </w:trPr>
        <w:tc>
          <w:tcPr>
            <w:tcW w:w="617" w:type="pct"/>
            <w:shd w:val="clear" w:color="auto" w:fill="auto"/>
          </w:tcPr>
          <w:p w14:paraId="564FA524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eastAsia="Batang" w:hAnsi="Times New Roman"/>
                <w:bCs/>
                <w:sz w:val="24"/>
                <w:szCs w:val="24"/>
              </w:rPr>
              <w:lastRenderedPageBreak/>
              <w:t>Наруше-ние кровенос-ной и лимфати-ческой системы</w:t>
            </w:r>
          </w:p>
        </w:tc>
        <w:tc>
          <w:tcPr>
            <w:tcW w:w="671" w:type="pct"/>
          </w:tcPr>
          <w:p w14:paraId="487F39F5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16" w:name="_Hlk38289763"/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лимфо-пения</w:t>
            </w:r>
            <w:bookmarkEnd w:id="16"/>
          </w:p>
        </w:tc>
        <w:tc>
          <w:tcPr>
            <w:tcW w:w="1285" w:type="pct"/>
          </w:tcPr>
          <w:p w14:paraId="53DF4AB6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лейкопения, нейтропения, анемия, тромбоцитопения</w:t>
            </w:r>
          </w:p>
          <w:p w14:paraId="384218BC" w14:textId="77777777" w:rsidR="00A923FD" w:rsidRPr="00A923FD" w:rsidRDefault="00A923FD" w:rsidP="00F47DBB">
            <w:pPr>
              <w:pStyle w:val="23"/>
              <w:keepNext/>
              <w:keepLines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  <w:lang w:val="en-GB"/>
              </w:rPr>
            </w:pPr>
          </w:p>
        </w:tc>
        <w:tc>
          <w:tcPr>
            <w:tcW w:w="856" w:type="pct"/>
          </w:tcPr>
          <w:p w14:paraId="5ABBBE5C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27" w:type="pct"/>
          </w:tcPr>
          <w:p w14:paraId="6F82B5FF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44" w:type="pct"/>
          </w:tcPr>
          <w:p w14:paraId="048CEB08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923FD" w:rsidRPr="00A923FD" w14:paraId="0AB606C8" w14:textId="77777777" w:rsidTr="0025095A">
        <w:trPr>
          <w:cantSplit/>
        </w:trPr>
        <w:tc>
          <w:tcPr>
            <w:tcW w:w="617" w:type="pct"/>
            <w:shd w:val="clear" w:color="auto" w:fill="auto"/>
          </w:tcPr>
          <w:p w14:paraId="6EDD2460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FD">
              <w:rPr>
                <w:rFonts w:ascii="Times New Roman" w:eastAsia="Batang" w:hAnsi="Times New Roman"/>
                <w:bCs/>
                <w:sz w:val="24"/>
                <w:szCs w:val="24"/>
              </w:rPr>
              <w:t>Наруше-ние иммунной системы</w:t>
            </w:r>
          </w:p>
        </w:tc>
        <w:tc>
          <w:tcPr>
            <w:tcW w:w="671" w:type="pct"/>
          </w:tcPr>
          <w:p w14:paraId="34C97821" w14:textId="77777777" w:rsidR="00A923FD" w:rsidRPr="00A923FD" w:rsidRDefault="00A923FD" w:rsidP="00F47DBB">
            <w:pPr>
              <w:pStyle w:val="23"/>
              <w:keepNext/>
              <w:keepLines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285" w:type="pct"/>
          </w:tcPr>
          <w:p w14:paraId="30124A34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56" w:type="pct"/>
          </w:tcPr>
          <w:p w14:paraId="48B579EB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анафилакти-ческие реакции, реакции гиперчувст-вительности (в том числе </w:t>
            </w:r>
          </w:p>
          <w:p w14:paraId="7512FBB8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кожные реакции и крапивница)</w:t>
            </w: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44FA964" w14:textId="77777777" w:rsidR="00A923FD" w:rsidRPr="00A923FD" w:rsidRDefault="00A923FD" w:rsidP="00F47DBB">
            <w:pPr>
              <w:pStyle w:val="23"/>
              <w:keepNext/>
              <w:keepLines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27" w:type="pct"/>
          </w:tcPr>
          <w:p w14:paraId="2F2262BB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>ангионевроти-ческий отек</w:t>
            </w:r>
          </w:p>
        </w:tc>
        <w:tc>
          <w:tcPr>
            <w:tcW w:w="644" w:type="pct"/>
          </w:tcPr>
          <w:p w14:paraId="55326E15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923FD" w:rsidRPr="00A923FD" w14:paraId="10C2617D" w14:textId="77777777" w:rsidTr="0025095A">
        <w:trPr>
          <w:cantSplit/>
        </w:trPr>
        <w:tc>
          <w:tcPr>
            <w:tcW w:w="617" w:type="pct"/>
            <w:shd w:val="clear" w:color="auto" w:fill="auto"/>
          </w:tcPr>
          <w:p w14:paraId="042ED065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>Эндо-кринные наруше-ния</w:t>
            </w:r>
          </w:p>
        </w:tc>
        <w:tc>
          <w:tcPr>
            <w:tcW w:w="671" w:type="pct"/>
          </w:tcPr>
          <w:p w14:paraId="12FD6CD7" w14:textId="77777777" w:rsidR="00A923FD" w:rsidRPr="00A923FD" w:rsidRDefault="00A923FD" w:rsidP="00F47DBB">
            <w:pPr>
              <w:pStyle w:val="23"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285" w:type="pct"/>
          </w:tcPr>
          <w:p w14:paraId="1F4525C9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>гипотиреоз</w:t>
            </w:r>
          </w:p>
        </w:tc>
        <w:tc>
          <w:tcPr>
            <w:tcW w:w="856" w:type="pct"/>
          </w:tcPr>
          <w:p w14:paraId="3AC753E8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>гипертиреоз</w:t>
            </w:r>
          </w:p>
        </w:tc>
        <w:tc>
          <w:tcPr>
            <w:tcW w:w="927" w:type="pct"/>
          </w:tcPr>
          <w:p w14:paraId="0BEAB47D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44" w:type="pct"/>
          </w:tcPr>
          <w:p w14:paraId="461AE4A5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923FD" w:rsidRPr="00A923FD" w14:paraId="0C0B4519" w14:textId="77777777" w:rsidTr="0025095A">
        <w:trPr>
          <w:cantSplit/>
        </w:trPr>
        <w:tc>
          <w:tcPr>
            <w:tcW w:w="617" w:type="pct"/>
            <w:shd w:val="clear" w:color="auto" w:fill="auto"/>
          </w:tcPr>
          <w:p w14:paraId="0C22C032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eastAsia="Batang" w:hAnsi="Times New Roman"/>
                <w:bCs/>
                <w:sz w:val="24"/>
                <w:szCs w:val="24"/>
              </w:rPr>
              <w:t>Наруше-ние обмена веществ и питания</w:t>
            </w:r>
          </w:p>
        </w:tc>
        <w:tc>
          <w:tcPr>
            <w:tcW w:w="671" w:type="pct"/>
          </w:tcPr>
          <w:p w14:paraId="2C33F217" w14:textId="77777777" w:rsidR="00A923FD" w:rsidRPr="00A923FD" w:rsidRDefault="00A923FD" w:rsidP="00F47DBB">
            <w:pPr>
              <w:pStyle w:val="2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7" w:name="_Hlk38289775"/>
            <w:r w:rsidRPr="00A923FD">
              <w:rPr>
                <w:rFonts w:ascii="Times New Roman" w:hAnsi="Times New Roman"/>
                <w:sz w:val="24"/>
                <w:szCs w:val="24"/>
              </w:rPr>
              <w:t>анорексия</w:t>
            </w:r>
          </w:p>
          <w:p w14:paraId="5FDB3179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гипофосфатемия</w:t>
            </w:r>
          </w:p>
          <w:bookmarkEnd w:id="17"/>
          <w:p w14:paraId="7705D5FB" w14:textId="77777777" w:rsidR="00A923FD" w:rsidRPr="00A923FD" w:rsidRDefault="00A923FD" w:rsidP="00F47DBB">
            <w:pPr>
              <w:pStyle w:val="23"/>
              <w:tabs>
                <w:tab w:val="left" w:pos="18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285" w:type="pct"/>
          </w:tcPr>
          <w:p w14:paraId="35EEF505" w14:textId="77777777" w:rsidR="00A923FD" w:rsidRPr="00A923FD" w:rsidRDefault="00A923FD" w:rsidP="00F47DBB">
            <w:pPr>
              <w:pStyle w:val="23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3FD">
              <w:rPr>
                <w:rFonts w:ascii="Times New Roman" w:hAnsi="Times New Roman"/>
                <w:color w:val="000000"/>
                <w:sz w:val="24"/>
                <w:szCs w:val="24"/>
              </w:rPr>
              <w:t>гипокальцемия,</w:t>
            </w:r>
          </w:p>
          <w:p w14:paraId="2B3A9DF4" w14:textId="77777777" w:rsidR="00A923FD" w:rsidRPr="00A923FD" w:rsidRDefault="00A923FD" w:rsidP="00F47DBB">
            <w:pPr>
              <w:pStyle w:val="23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FD">
              <w:rPr>
                <w:rFonts w:ascii="Times New Roman" w:hAnsi="Times New Roman"/>
                <w:color w:val="000000"/>
                <w:sz w:val="24"/>
                <w:szCs w:val="24"/>
              </w:rPr>
              <w:t>гипокалиемия, гипонатриемия, гипогликемия</w:t>
            </w:r>
          </w:p>
        </w:tc>
        <w:tc>
          <w:tcPr>
            <w:tcW w:w="856" w:type="pct"/>
          </w:tcPr>
          <w:p w14:paraId="02CA6B04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>дегидратация</w:t>
            </w:r>
          </w:p>
        </w:tc>
        <w:tc>
          <w:tcPr>
            <w:tcW w:w="927" w:type="pct"/>
          </w:tcPr>
          <w:p w14:paraId="2A7835F9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44" w:type="pct"/>
          </w:tcPr>
          <w:p w14:paraId="60BB49CE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923FD" w:rsidRPr="00A923FD" w14:paraId="61747EFC" w14:textId="77777777" w:rsidTr="0025095A">
        <w:trPr>
          <w:cantSplit/>
        </w:trPr>
        <w:tc>
          <w:tcPr>
            <w:tcW w:w="617" w:type="pct"/>
            <w:shd w:val="clear" w:color="auto" w:fill="auto"/>
          </w:tcPr>
          <w:p w14:paraId="27667AB8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FD">
              <w:rPr>
                <w:rFonts w:ascii="Times New Roman" w:eastAsia="Batang" w:hAnsi="Times New Roman"/>
                <w:bCs/>
                <w:sz w:val="24"/>
                <w:szCs w:val="24"/>
              </w:rPr>
              <w:t>Психиа-трические расстрой-ства</w:t>
            </w:r>
          </w:p>
        </w:tc>
        <w:tc>
          <w:tcPr>
            <w:tcW w:w="671" w:type="pct"/>
          </w:tcPr>
          <w:p w14:paraId="217EA5E2" w14:textId="77777777" w:rsidR="00A923FD" w:rsidRPr="00A923FD" w:rsidRDefault="00A923FD" w:rsidP="00F47DBB">
            <w:pPr>
              <w:pStyle w:val="23"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285" w:type="pct"/>
          </w:tcPr>
          <w:p w14:paraId="12AE9C0E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>депрессия</w:t>
            </w:r>
          </w:p>
        </w:tc>
        <w:tc>
          <w:tcPr>
            <w:tcW w:w="856" w:type="pct"/>
          </w:tcPr>
          <w:p w14:paraId="4FA58D77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27" w:type="pct"/>
          </w:tcPr>
          <w:p w14:paraId="1D30F9E8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44" w:type="pct"/>
          </w:tcPr>
          <w:p w14:paraId="7AEFED6E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923FD" w:rsidRPr="00A923FD" w14:paraId="2777FC9B" w14:textId="77777777" w:rsidTr="0025095A">
        <w:trPr>
          <w:cantSplit/>
        </w:trPr>
        <w:tc>
          <w:tcPr>
            <w:tcW w:w="617" w:type="pct"/>
            <w:shd w:val="clear" w:color="auto" w:fill="auto"/>
          </w:tcPr>
          <w:p w14:paraId="4D386449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FD">
              <w:rPr>
                <w:rFonts w:ascii="Times New Roman" w:eastAsia="Batang" w:hAnsi="Times New Roman"/>
                <w:bCs/>
                <w:sz w:val="24"/>
                <w:szCs w:val="24"/>
              </w:rPr>
              <w:t>Наруше-ния нервной системы</w:t>
            </w:r>
          </w:p>
        </w:tc>
        <w:tc>
          <w:tcPr>
            <w:tcW w:w="671" w:type="pct"/>
          </w:tcPr>
          <w:p w14:paraId="076C1D17" w14:textId="77777777" w:rsidR="00A923FD" w:rsidRPr="00A923FD" w:rsidRDefault="00A923FD" w:rsidP="00F47DBB">
            <w:pPr>
              <w:pStyle w:val="23"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285" w:type="pct"/>
          </w:tcPr>
          <w:p w14:paraId="59A4A34A" w14:textId="77777777" w:rsidR="00A923FD" w:rsidRPr="00A923FD" w:rsidRDefault="00A923FD" w:rsidP="00F47DBB">
            <w:pPr>
              <w:pStyle w:val="23"/>
              <w:spacing w:line="240" w:lineRule="auto"/>
              <w:rPr>
                <w:rFonts w:ascii="Times New Roman" w:hAnsi="Times New Roman"/>
                <w:sz w:val="24"/>
                <w:szCs w:val="24"/>
                <w:highlight w:val="green"/>
                <w:lang w:val="en-GB"/>
              </w:rPr>
            </w:pPr>
            <w:r w:rsidRPr="00A923FD">
              <w:rPr>
                <w:rFonts w:ascii="Times New Roman" w:hAnsi="Times New Roman"/>
                <w:color w:val="000000"/>
                <w:sz w:val="24"/>
                <w:szCs w:val="24"/>
              </w:rPr>
              <w:t>периферическая сенсорная нейропатия, дисгевзия</w:t>
            </w:r>
            <w:r w:rsidRPr="00A923FD">
              <w:rPr>
                <w:rFonts w:ascii="Times New Roman" w:hAnsi="Times New Roman"/>
                <w:sz w:val="24"/>
                <w:szCs w:val="24"/>
                <w:highlight w:val="green"/>
                <w:lang w:val="en-GB"/>
              </w:rPr>
              <w:t xml:space="preserve"> </w:t>
            </w:r>
          </w:p>
        </w:tc>
        <w:tc>
          <w:tcPr>
            <w:tcW w:w="856" w:type="pct"/>
          </w:tcPr>
          <w:p w14:paraId="1C1946F8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обратимая задняя лейкоэнцефалопатия* </w:t>
            </w:r>
          </w:p>
          <w:p w14:paraId="10C45FF4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27" w:type="pct"/>
          </w:tcPr>
          <w:p w14:paraId="58A1CE88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44" w:type="pct"/>
          </w:tcPr>
          <w:p w14:paraId="527D2EC4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>энцефалопатия</w:t>
            </w:r>
            <w:r w:rsidRPr="00A923FD">
              <w:rPr>
                <w:rFonts w:ascii="Times New Roman" w:hAnsi="Times New Roman"/>
                <w:sz w:val="24"/>
                <w:szCs w:val="24"/>
                <w:lang w:val="en-GB"/>
              </w:rPr>
              <w:t>°</w:t>
            </w:r>
          </w:p>
        </w:tc>
      </w:tr>
      <w:tr w:rsidR="00A923FD" w:rsidRPr="00A923FD" w14:paraId="1BB09B91" w14:textId="77777777" w:rsidTr="0025095A">
        <w:trPr>
          <w:cantSplit/>
        </w:trPr>
        <w:tc>
          <w:tcPr>
            <w:tcW w:w="617" w:type="pct"/>
            <w:shd w:val="clear" w:color="auto" w:fill="auto"/>
          </w:tcPr>
          <w:p w14:paraId="41229343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hAnsi="Times New Roman"/>
                <w:bCs/>
                <w:iCs/>
                <w:sz w:val="24"/>
                <w:szCs w:val="24"/>
              </w:rPr>
              <w:t>Наруше-ния со стороны органа слуха и равнове-сия</w:t>
            </w:r>
          </w:p>
        </w:tc>
        <w:tc>
          <w:tcPr>
            <w:tcW w:w="671" w:type="pct"/>
          </w:tcPr>
          <w:p w14:paraId="667839B8" w14:textId="77777777" w:rsidR="00A923FD" w:rsidRPr="00A923FD" w:rsidRDefault="00A923FD" w:rsidP="00F47DBB">
            <w:pPr>
              <w:pStyle w:val="23"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pct"/>
          </w:tcPr>
          <w:p w14:paraId="2D4B3384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звон в ушах</w:t>
            </w:r>
          </w:p>
          <w:p w14:paraId="39042978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pct"/>
          </w:tcPr>
          <w:p w14:paraId="6FB7A440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</w:tcPr>
          <w:p w14:paraId="73252C46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74207189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FD" w:rsidRPr="00A923FD" w14:paraId="725A3827" w14:textId="77777777" w:rsidTr="0025095A">
        <w:trPr>
          <w:cantSplit/>
        </w:trPr>
        <w:tc>
          <w:tcPr>
            <w:tcW w:w="617" w:type="pct"/>
            <w:shd w:val="clear" w:color="auto" w:fill="auto"/>
          </w:tcPr>
          <w:p w14:paraId="614CDAD2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eastAsia="Batang" w:hAnsi="Times New Roman"/>
                <w:bCs/>
                <w:sz w:val="24"/>
                <w:szCs w:val="24"/>
              </w:rPr>
              <w:t>Наруше-ния со стороны сердца</w:t>
            </w:r>
          </w:p>
        </w:tc>
        <w:tc>
          <w:tcPr>
            <w:tcW w:w="671" w:type="pct"/>
          </w:tcPr>
          <w:p w14:paraId="5C739FA0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pct"/>
          </w:tcPr>
          <w:p w14:paraId="5ABFA832" w14:textId="77777777" w:rsidR="00A923FD" w:rsidRPr="00A923FD" w:rsidRDefault="00A923FD" w:rsidP="00F47DBB">
            <w:pPr>
              <w:pStyle w:val="23"/>
              <w:keepNext/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>застойная сердечная недостаточность*</w:t>
            </w:r>
          </w:p>
          <w:p w14:paraId="05A475A9" w14:textId="77777777" w:rsidR="00A923FD" w:rsidRPr="00A923FD" w:rsidRDefault="00A923FD" w:rsidP="00F47DBB">
            <w:pPr>
              <w:pStyle w:val="23"/>
              <w:keepNext/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>ишемия и инфаркт миокарда*</w:t>
            </w:r>
          </w:p>
        </w:tc>
        <w:tc>
          <w:tcPr>
            <w:tcW w:w="856" w:type="pct"/>
          </w:tcPr>
          <w:p w14:paraId="114292AA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</w:tcPr>
          <w:p w14:paraId="42013510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>удлинение интервала QT</w:t>
            </w:r>
          </w:p>
        </w:tc>
        <w:tc>
          <w:tcPr>
            <w:tcW w:w="644" w:type="pct"/>
          </w:tcPr>
          <w:p w14:paraId="435D6E38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923FD" w:rsidRPr="00A923FD" w14:paraId="767DA4E2" w14:textId="77777777" w:rsidTr="0025095A">
        <w:trPr>
          <w:cantSplit/>
        </w:trPr>
        <w:tc>
          <w:tcPr>
            <w:tcW w:w="617" w:type="pct"/>
            <w:shd w:val="clear" w:color="auto" w:fill="auto"/>
          </w:tcPr>
          <w:p w14:paraId="0A2919E5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eastAsia="Batang" w:hAnsi="Times New Roman"/>
                <w:bCs/>
                <w:sz w:val="24"/>
                <w:szCs w:val="24"/>
              </w:rPr>
              <w:lastRenderedPageBreak/>
              <w:t>Наруше-ния со стороны сосудов</w:t>
            </w:r>
          </w:p>
        </w:tc>
        <w:tc>
          <w:tcPr>
            <w:tcW w:w="671" w:type="pct"/>
          </w:tcPr>
          <w:p w14:paraId="65D3250E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18" w:name="_Hlk38289799"/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кровоте-чения (в т.ч. кровотечения из ЖКТ*, дыхательных путей* и </w:t>
            </w:r>
          </w:p>
          <w:p w14:paraId="70417322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кровоиз-лияние в головной мозг*), </w:t>
            </w:r>
            <w:r w:rsidRPr="00A923FD">
              <w:rPr>
                <w:rFonts w:ascii="Times New Roman" w:eastAsia="Times New Roman" w:hAnsi="Times New Roman"/>
                <w:sz w:val="24"/>
                <w:szCs w:val="24"/>
              </w:rPr>
              <w:t>артериальная гипертензия</w:t>
            </w:r>
          </w:p>
          <w:bookmarkEnd w:id="18"/>
          <w:p w14:paraId="19EAD285" w14:textId="77777777" w:rsidR="00A923FD" w:rsidRPr="00A923FD" w:rsidRDefault="00A923FD" w:rsidP="00F47DBB">
            <w:pPr>
              <w:pStyle w:val="23"/>
              <w:tabs>
                <w:tab w:val="left" w:pos="18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85" w:type="pct"/>
          </w:tcPr>
          <w:p w14:paraId="609AF2D5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>приливы</w:t>
            </w:r>
          </w:p>
        </w:tc>
        <w:tc>
          <w:tcPr>
            <w:tcW w:w="856" w:type="pct"/>
          </w:tcPr>
          <w:p w14:paraId="3362D043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hAnsi="Times New Roman"/>
                <w:color w:val="000000"/>
                <w:sz w:val="24"/>
                <w:szCs w:val="24"/>
              </w:rPr>
              <w:t>гипертонический криз*</w:t>
            </w:r>
          </w:p>
        </w:tc>
        <w:tc>
          <w:tcPr>
            <w:tcW w:w="927" w:type="pct"/>
          </w:tcPr>
          <w:p w14:paraId="70DC6FFB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53C0E1A0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>аневриз-</w:t>
            </w:r>
          </w:p>
          <w:p w14:paraId="299C9144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>мы и рассече-ние артерий</w:t>
            </w:r>
          </w:p>
        </w:tc>
      </w:tr>
      <w:tr w:rsidR="00A923FD" w:rsidRPr="00A923FD" w14:paraId="62C61A19" w14:textId="77777777" w:rsidTr="0025095A">
        <w:trPr>
          <w:cantSplit/>
        </w:trPr>
        <w:tc>
          <w:tcPr>
            <w:tcW w:w="617" w:type="pct"/>
            <w:shd w:val="clear" w:color="auto" w:fill="auto"/>
          </w:tcPr>
          <w:p w14:paraId="4D2B615F" w14:textId="77777777" w:rsidR="00A923FD" w:rsidRPr="00A923FD" w:rsidRDefault="00A923FD" w:rsidP="00F47DBB">
            <w:pPr>
              <w:pStyle w:val="Default"/>
            </w:pPr>
            <w:r w:rsidRPr="00A923FD">
              <w:rPr>
                <w:bCs/>
                <w:iCs/>
              </w:rPr>
              <w:t xml:space="preserve">Наруше-ния со стороны дыхательной системы и органов грудной клетки </w:t>
            </w:r>
          </w:p>
          <w:p w14:paraId="14434950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746046B2" w14:textId="77777777" w:rsidR="00A923FD" w:rsidRPr="00A923FD" w:rsidRDefault="00A923FD" w:rsidP="00F47DBB">
            <w:pPr>
              <w:pStyle w:val="23"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85" w:type="pct"/>
          </w:tcPr>
          <w:p w14:paraId="2C850331" w14:textId="77777777" w:rsidR="00A923FD" w:rsidRPr="00A923FD" w:rsidRDefault="00A923FD" w:rsidP="00F47DBB">
            <w:pPr>
              <w:pStyle w:val="23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FD">
              <w:rPr>
                <w:rFonts w:ascii="Times New Roman" w:hAnsi="Times New Roman"/>
                <w:color w:val="000000"/>
                <w:sz w:val="24"/>
                <w:szCs w:val="24"/>
              </w:rPr>
              <w:t>ринорея, дисфония</w:t>
            </w:r>
          </w:p>
        </w:tc>
        <w:tc>
          <w:tcPr>
            <w:tcW w:w="856" w:type="pct"/>
          </w:tcPr>
          <w:p w14:paraId="05D83144" w14:textId="77777777" w:rsidR="00A923FD" w:rsidRPr="00A923FD" w:rsidRDefault="00A923FD" w:rsidP="00F47DB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явления, сходные с интерстициальными заболеваниями легких* </w:t>
            </w:r>
          </w:p>
          <w:p w14:paraId="51E6B599" w14:textId="77777777" w:rsidR="00A923FD" w:rsidRPr="00A923FD" w:rsidRDefault="00A923FD" w:rsidP="00F47DB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(пневмонит, лучевой пневмонит, острый респиратор-ный дистресс-синдром)</w:t>
            </w:r>
          </w:p>
          <w:p w14:paraId="1AD19BC1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</w:tcPr>
          <w:p w14:paraId="7651078A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1D9B1D77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FD" w:rsidRPr="00A923FD" w14:paraId="77123670" w14:textId="77777777" w:rsidTr="0025095A">
        <w:trPr>
          <w:cantSplit/>
        </w:trPr>
        <w:tc>
          <w:tcPr>
            <w:tcW w:w="617" w:type="pct"/>
            <w:shd w:val="clear" w:color="auto" w:fill="auto"/>
          </w:tcPr>
          <w:p w14:paraId="64E40FF0" w14:textId="77777777" w:rsidR="00A923FD" w:rsidRPr="00A923FD" w:rsidRDefault="00A923FD" w:rsidP="00F47DBB">
            <w:pPr>
              <w:pStyle w:val="Default"/>
            </w:pPr>
            <w:r w:rsidRPr="00A923FD">
              <w:rPr>
                <w:bCs/>
                <w:iCs/>
              </w:rPr>
              <w:t xml:space="preserve">Наруше-ния со стороны желудоч-но-кишеч-ного тракта </w:t>
            </w:r>
          </w:p>
          <w:p w14:paraId="1C4468BE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077312D9" w14:textId="77777777" w:rsidR="00A923FD" w:rsidRPr="00A923FD" w:rsidRDefault="00A923FD" w:rsidP="00F47DBB">
            <w:pPr>
              <w:pStyle w:val="23"/>
              <w:tabs>
                <w:tab w:val="left" w:pos="1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9" w:name="_Hlk38289822"/>
            <w:r w:rsidRPr="00A923FD">
              <w:rPr>
                <w:rFonts w:ascii="Times New Roman" w:hAnsi="Times New Roman"/>
                <w:color w:val="000000"/>
                <w:sz w:val="24"/>
                <w:szCs w:val="24"/>
              </w:rPr>
              <w:t>тошнота, рвота,</w:t>
            </w:r>
            <w:r w:rsidRPr="00A923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A923FD">
              <w:rPr>
                <w:rFonts w:ascii="Times New Roman" w:hAnsi="Times New Roman"/>
                <w:color w:val="000000"/>
                <w:sz w:val="24"/>
                <w:szCs w:val="24"/>
              </w:rPr>
              <w:t>диарея, запор</w:t>
            </w:r>
          </w:p>
          <w:bookmarkEnd w:id="19"/>
          <w:p w14:paraId="64A6CFCB" w14:textId="77777777" w:rsidR="00A923FD" w:rsidRPr="00A923FD" w:rsidRDefault="00A923FD" w:rsidP="00F47DBB">
            <w:pPr>
              <w:pStyle w:val="2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pct"/>
          </w:tcPr>
          <w:p w14:paraId="6E7E8B17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стоматит (включая сухость во рту глоссодиния), диспепсия, </w:t>
            </w:r>
          </w:p>
          <w:p w14:paraId="07AAE439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дисфагия, </w:t>
            </w: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гастроэзофагеаль-ный рефлюкс</w:t>
            </w:r>
          </w:p>
          <w:p w14:paraId="420223B7" w14:textId="77777777" w:rsidR="00A923FD" w:rsidRPr="00A923FD" w:rsidRDefault="00A923FD" w:rsidP="00F47DBB">
            <w:pPr>
              <w:pStyle w:val="23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56" w:type="pct"/>
          </w:tcPr>
          <w:p w14:paraId="6721087B" w14:textId="77777777" w:rsidR="00A923FD" w:rsidRPr="00A923FD" w:rsidRDefault="00A923FD" w:rsidP="00F47DB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гастрит, панкреатит, перфорация желудочно-кишечном тракта* </w:t>
            </w:r>
          </w:p>
          <w:p w14:paraId="794F5130" w14:textId="77777777" w:rsidR="00A923FD" w:rsidRPr="00A923FD" w:rsidRDefault="00A923FD" w:rsidP="00F47DBB">
            <w:pPr>
              <w:pStyle w:val="2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</w:tcPr>
          <w:p w14:paraId="72EA9DF6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2DBAEC91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FD" w:rsidRPr="00A923FD" w14:paraId="45E52946" w14:textId="77777777" w:rsidTr="0025095A">
        <w:trPr>
          <w:cantSplit/>
        </w:trPr>
        <w:tc>
          <w:tcPr>
            <w:tcW w:w="617" w:type="pct"/>
            <w:shd w:val="clear" w:color="auto" w:fill="auto"/>
          </w:tcPr>
          <w:p w14:paraId="10BF56A2" w14:textId="77777777" w:rsidR="00A923FD" w:rsidRPr="00A923FD" w:rsidRDefault="00A923FD" w:rsidP="00F47DBB">
            <w:pPr>
              <w:pStyle w:val="Default"/>
            </w:pPr>
            <w:r w:rsidRPr="00A923FD">
              <w:rPr>
                <w:bCs/>
                <w:iCs/>
              </w:rPr>
              <w:lastRenderedPageBreak/>
              <w:t xml:space="preserve">Наруше-ния со стороны печени и желчевы-водящих путей </w:t>
            </w:r>
          </w:p>
          <w:p w14:paraId="176B46B7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0984A75C" w14:textId="77777777" w:rsidR="00A923FD" w:rsidRPr="00A923FD" w:rsidRDefault="00A923FD" w:rsidP="00F47DBB">
            <w:pPr>
              <w:pStyle w:val="23"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pct"/>
          </w:tcPr>
          <w:p w14:paraId="411535D6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pct"/>
          </w:tcPr>
          <w:p w14:paraId="65BF1C2C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уровня билирубина, желтуха, холецистит, холангит</w:t>
            </w:r>
          </w:p>
          <w:p w14:paraId="6FA89E1F" w14:textId="77777777" w:rsidR="00A923FD" w:rsidRPr="00A923FD" w:rsidRDefault="00A923FD" w:rsidP="00F47DBB">
            <w:pPr>
              <w:pStyle w:val="2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</w:tcPr>
          <w:p w14:paraId="32C6F8CF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>лекарственный гепатит</w:t>
            </w:r>
            <w:r w:rsidRPr="00A923FD">
              <w:rPr>
                <w:rFonts w:ascii="Times New Roman" w:hAnsi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644" w:type="pct"/>
          </w:tcPr>
          <w:p w14:paraId="1643E642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en-GB" w:eastAsia="ja-JP"/>
              </w:rPr>
            </w:pPr>
          </w:p>
        </w:tc>
      </w:tr>
      <w:tr w:rsidR="00A923FD" w:rsidRPr="00A923FD" w14:paraId="3E3BED6F" w14:textId="77777777" w:rsidTr="0025095A">
        <w:trPr>
          <w:cantSplit/>
        </w:trPr>
        <w:tc>
          <w:tcPr>
            <w:tcW w:w="617" w:type="pct"/>
            <w:shd w:val="clear" w:color="auto" w:fill="auto"/>
          </w:tcPr>
          <w:p w14:paraId="036D3E39" w14:textId="77777777" w:rsidR="00A923FD" w:rsidRPr="00A923FD" w:rsidRDefault="00A923FD" w:rsidP="00F47DBB">
            <w:pPr>
              <w:pStyle w:val="Default"/>
            </w:pPr>
            <w:r w:rsidRPr="00A923FD">
              <w:rPr>
                <w:bCs/>
                <w:iCs/>
              </w:rPr>
              <w:t xml:space="preserve">Наруше-ния со стороны кожи и подкож-ных тканей </w:t>
            </w:r>
          </w:p>
          <w:p w14:paraId="10F8B161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2FB99135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20" w:name="_Hlk38289836"/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сухость кожи, сыпь, алопеция, </w:t>
            </w:r>
          </w:p>
          <w:p w14:paraId="7D047637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ладонно-подош-венная кожная реакция</w:t>
            </w:r>
            <w:r w:rsidRPr="00A923FD">
              <w:rPr>
                <w:rFonts w:ascii="Times New Roman" w:hAnsi="Times New Roman"/>
                <w:sz w:val="24"/>
                <w:szCs w:val="24"/>
              </w:rPr>
              <w:t>**</w:t>
            </w: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эритема, зуд </w:t>
            </w:r>
          </w:p>
          <w:bookmarkEnd w:id="20"/>
          <w:p w14:paraId="2F3825A0" w14:textId="77777777" w:rsidR="00A923FD" w:rsidRPr="00A923FD" w:rsidRDefault="00A923FD" w:rsidP="00F47DBB">
            <w:pPr>
              <w:pStyle w:val="23"/>
              <w:tabs>
                <w:tab w:val="left" w:pos="1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pct"/>
          </w:tcPr>
          <w:p w14:paraId="18083887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кератоакантома/плоскоклеточный рак кожи, эксфолиативный дерматит, </w:t>
            </w:r>
          </w:p>
          <w:p w14:paraId="0E6D5EE0" w14:textId="77777777" w:rsidR="00A923FD" w:rsidRPr="00A923FD" w:rsidRDefault="00A923FD" w:rsidP="00F47DBB">
            <w:pPr>
              <w:pStyle w:val="23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FD">
              <w:rPr>
                <w:rFonts w:ascii="Times New Roman" w:hAnsi="Times New Roman"/>
                <w:color w:val="000000"/>
                <w:sz w:val="24"/>
                <w:szCs w:val="24"/>
              </w:rPr>
              <w:t>акне, шелушение кожи, гиперкератоз</w:t>
            </w:r>
          </w:p>
        </w:tc>
        <w:tc>
          <w:tcPr>
            <w:tcW w:w="856" w:type="pct"/>
          </w:tcPr>
          <w:p w14:paraId="14DD63F6" w14:textId="77777777" w:rsidR="00A923FD" w:rsidRPr="00A923FD" w:rsidRDefault="00A923FD" w:rsidP="00F47DBB">
            <w:pPr>
              <w:pStyle w:val="23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FD">
              <w:rPr>
                <w:rFonts w:ascii="Times New Roman" w:hAnsi="Times New Roman"/>
                <w:color w:val="000000"/>
                <w:sz w:val="24"/>
                <w:szCs w:val="24"/>
              </w:rPr>
              <w:t>экзема, мультиформная эритема</w:t>
            </w:r>
          </w:p>
        </w:tc>
        <w:tc>
          <w:tcPr>
            <w:tcW w:w="927" w:type="pct"/>
          </w:tcPr>
          <w:p w14:paraId="0C508AC5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3FD">
              <w:rPr>
                <w:rFonts w:ascii="Times New Roman" w:eastAsia="Times New Roman" w:hAnsi="Times New Roman"/>
                <w:sz w:val="24"/>
                <w:szCs w:val="24"/>
              </w:rPr>
              <w:t xml:space="preserve">возвратный лучевой дерматит, синдром Стивена-Джонсона,     </w:t>
            </w:r>
          </w:p>
          <w:p w14:paraId="08E8561A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3FD">
              <w:rPr>
                <w:rFonts w:ascii="Times New Roman" w:eastAsia="Times New Roman" w:hAnsi="Times New Roman"/>
                <w:sz w:val="24"/>
                <w:szCs w:val="24"/>
              </w:rPr>
              <w:t>лейкоцитокластический васкулит, токсический эпидемальный некролиз</w:t>
            </w:r>
            <w:r w:rsidRPr="00A923FD">
              <w:rPr>
                <w:rFonts w:ascii="Times New Roman" w:hAnsi="Times New Roman"/>
                <w:sz w:val="24"/>
                <w:szCs w:val="24"/>
              </w:rPr>
              <w:t>*</w:t>
            </w:r>
            <w:r w:rsidRPr="00A923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43BCF34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44" w:type="pct"/>
          </w:tcPr>
          <w:p w14:paraId="1588DABB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23FD" w:rsidRPr="00A923FD" w14:paraId="62A720F1" w14:textId="77777777" w:rsidTr="0025095A">
        <w:trPr>
          <w:cantSplit/>
        </w:trPr>
        <w:tc>
          <w:tcPr>
            <w:tcW w:w="617" w:type="pct"/>
            <w:shd w:val="clear" w:color="auto" w:fill="auto"/>
          </w:tcPr>
          <w:p w14:paraId="1C108954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hAnsi="Times New Roman"/>
                <w:bCs/>
                <w:iCs/>
                <w:sz w:val="24"/>
                <w:szCs w:val="24"/>
              </w:rPr>
              <w:t>Наруше-ния со стороны мышеч-ной и соедини-тельной ткани</w:t>
            </w:r>
          </w:p>
        </w:tc>
        <w:tc>
          <w:tcPr>
            <w:tcW w:w="671" w:type="pct"/>
          </w:tcPr>
          <w:p w14:paraId="4171125D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>артралгия</w:t>
            </w:r>
          </w:p>
        </w:tc>
        <w:tc>
          <w:tcPr>
            <w:tcW w:w="1285" w:type="pct"/>
          </w:tcPr>
          <w:p w14:paraId="29DA5221" w14:textId="77777777" w:rsidR="00A923FD" w:rsidRPr="00A923FD" w:rsidRDefault="00A923FD" w:rsidP="00F47DBB">
            <w:pPr>
              <w:pStyle w:val="23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FD">
              <w:rPr>
                <w:rFonts w:ascii="Times New Roman" w:hAnsi="Times New Roman"/>
                <w:color w:val="000000"/>
                <w:sz w:val="24"/>
                <w:szCs w:val="24"/>
              </w:rPr>
              <w:t>миалгии, мышечные спазмы</w:t>
            </w:r>
          </w:p>
        </w:tc>
        <w:tc>
          <w:tcPr>
            <w:tcW w:w="856" w:type="pct"/>
          </w:tcPr>
          <w:p w14:paraId="378D7562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27" w:type="pct"/>
          </w:tcPr>
          <w:p w14:paraId="48DD0FAF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>рабдомиолиз</w:t>
            </w:r>
          </w:p>
        </w:tc>
        <w:tc>
          <w:tcPr>
            <w:tcW w:w="644" w:type="pct"/>
          </w:tcPr>
          <w:p w14:paraId="63AF99AB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923FD" w:rsidRPr="00A923FD" w14:paraId="45CAA4E9" w14:textId="77777777" w:rsidTr="0025095A">
        <w:trPr>
          <w:cantSplit/>
        </w:trPr>
        <w:tc>
          <w:tcPr>
            <w:tcW w:w="617" w:type="pct"/>
            <w:shd w:val="clear" w:color="auto" w:fill="auto"/>
          </w:tcPr>
          <w:p w14:paraId="40A7A600" w14:textId="77777777" w:rsidR="00A923FD" w:rsidRPr="00A923FD" w:rsidRDefault="00A923FD" w:rsidP="00F47DBB">
            <w:pPr>
              <w:pStyle w:val="Default"/>
            </w:pPr>
            <w:r w:rsidRPr="00A923FD">
              <w:rPr>
                <w:bCs/>
                <w:iCs/>
              </w:rPr>
              <w:t xml:space="preserve">Наруше-ния со стороны почек и мочевы-водящих путей </w:t>
            </w:r>
          </w:p>
          <w:p w14:paraId="7A982FC7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3B6DE712" w14:textId="77777777" w:rsidR="00A923FD" w:rsidRPr="00A923FD" w:rsidRDefault="00A923FD" w:rsidP="00F47DBB">
            <w:pPr>
              <w:pStyle w:val="23"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85" w:type="pct"/>
          </w:tcPr>
          <w:p w14:paraId="02466819" w14:textId="77777777" w:rsidR="00A923FD" w:rsidRPr="00A923FD" w:rsidRDefault="00A923FD" w:rsidP="00F47DBB">
            <w:pPr>
              <w:pStyle w:val="23"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FD">
              <w:rPr>
                <w:rFonts w:ascii="Times New Roman" w:hAnsi="Times New Roman"/>
                <w:color w:val="000000"/>
                <w:sz w:val="24"/>
                <w:szCs w:val="24"/>
              </w:rPr>
              <w:t>протеинурия, почечная недостаточность</w:t>
            </w:r>
          </w:p>
        </w:tc>
        <w:tc>
          <w:tcPr>
            <w:tcW w:w="856" w:type="pct"/>
          </w:tcPr>
          <w:p w14:paraId="6214304A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27" w:type="pct"/>
          </w:tcPr>
          <w:p w14:paraId="3B8D8357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>нефроти-ческий синдром</w:t>
            </w:r>
          </w:p>
        </w:tc>
        <w:tc>
          <w:tcPr>
            <w:tcW w:w="644" w:type="pct"/>
          </w:tcPr>
          <w:p w14:paraId="3EF48622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923FD" w:rsidRPr="00A923FD" w14:paraId="055CDE88" w14:textId="77777777" w:rsidTr="0025095A">
        <w:trPr>
          <w:cantSplit/>
        </w:trPr>
        <w:tc>
          <w:tcPr>
            <w:tcW w:w="617" w:type="pct"/>
            <w:shd w:val="clear" w:color="auto" w:fill="auto"/>
          </w:tcPr>
          <w:p w14:paraId="0A256154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>Наруше-ния репродуктивной системы и молочных желез</w:t>
            </w:r>
          </w:p>
        </w:tc>
        <w:tc>
          <w:tcPr>
            <w:tcW w:w="671" w:type="pct"/>
          </w:tcPr>
          <w:p w14:paraId="57138F75" w14:textId="77777777" w:rsidR="00A923FD" w:rsidRPr="00A923FD" w:rsidRDefault="00A923FD" w:rsidP="00F47DBB">
            <w:pPr>
              <w:pStyle w:val="23"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85" w:type="pct"/>
          </w:tcPr>
          <w:p w14:paraId="24736155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FD">
              <w:rPr>
                <w:rFonts w:ascii="Times New Roman" w:hAnsi="Times New Roman"/>
                <w:color w:val="000000"/>
                <w:sz w:val="24"/>
                <w:szCs w:val="24"/>
              </w:rPr>
              <w:t>эректильная дисфункция</w:t>
            </w:r>
          </w:p>
        </w:tc>
        <w:tc>
          <w:tcPr>
            <w:tcW w:w="856" w:type="pct"/>
          </w:tcPr>
          <w:p w14:paraId="7969CDF2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FD">
              <w:rPr>
                <w:rFonts w:ascii="Times New Roman" w:hAnsi="Times New Roman"/>
                <w:color w:val="000000"/>
                <w:sz w:val="24"/>
                <w:szCs w:val="24"/>
              </w:rPr>
              <w:t>гинекомастия</w:t>
            </w:r>
          </w:p>
        </w:tc>
        <w:tc>
          <w:tcPr>
            <w:tcW w:w="927" w:type="pct"/>
          </w:tcPr>
          <w:p w14:paraId="6B0EB579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44" w:type="pct"/>
          </w:tcPr>
          <w:p w14:paraId="2E54C6D6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923FD" w:rsidRPr="00A923FD" w14:paraId="6372E5B7" w14:textId="77777777" w:rsidTr="0025095A">
        <w:trPr>
          <w:cantSplit/>
        </w:trPr>
        <w:tc>
          <w:tcPr>
            <w:tcW w:w="617" w:type="pct"/>
            <w:shd w:val="clear" w:color="auto" w:fill="auto"/>
          </w:tcPr>
          <w:p w14:paraId="56D1B244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Осложнения общего характера и реакции в месте введения</w:t>
            </w:r>
          </w:p>
        </w:tc>
        <w:tc>
          <w:tcPr>
            <w:tcW w:w="671" w:type="pct"/>
          </w:tcPr>
          <w:p w14:paraId="45B0B0A5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21" w:name="_Hlk38289866"/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</w:t>
            </w:r>
          </w:p>
          <w:p w14:paraId="267590E5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ная утомля-емость, болевой синдром различной локализа-ции (в том числе, боль в ротовой полости, боль в животе, боль в области опухоли, </w:t>
            </w:r>
          </w:p>
          <w:p w14:paraId="07446AB3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головные боли, боли в костях), лихорадка</w:t>
            </w:r>
          </w:p>
          <w:bookmarkEnd w:id="21"/>
          <w:p w14:paraId="66BE0FC5" w14:textId="77777777" w:rsidR="00A923FD" w:rsidRPr="00A923FD" w:rsidRDefault="00A923FD" w:rsidP="00F47DBB">
            <w:pPr>
              <w:pStyle w:val="23"/>
              <w:tabs>
                <w:tab w:val="left" w:pos="1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pct"/>
          </w:tcPr>
          <w:p w14:paraId="246FE1FE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астенический синдром, гриппоподобный синдром, </w:t>
            </w: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воспаление слизистых</w:t>
            </w:r>
          </w:p>
          <w:p w14:paraId="733D968D" w14:textId="77777777" w:rsidR="00A923FD" w:rsidRPr="00A923FD" w:rsidRDefault="00A923FD" w:rsidP="00F47DBB">
            <w:pPr>
              <w:pStyle w:val="2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pct"/>
          </w:tcPr>
          <w:p w14:paraId="1CC591CA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</w:tcPr>
          <w:p w14:paraId="6276C1E1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14:paraId="00F8CA3B" w14:textId="77777777" w:rsidR="00A923FD" w:rsidRPr="00A923FD" w:rsidRDefault="00A923FD" w:rsidP="00F47DBB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3FD" w:rsidRPr="00A923FD" w14:paraId="6329622D" w14:textId="77777777" w:rsidTr="0025095A">
        <w:trPr>
          <w:cantSplit/>
        </w:trPr>
        <w:tc>
          <w:tcPr>
            <w:tcW w:w="617" w:type="pct"/>
            <w:shd w:val="clear" w:color="auto" w:fill="auto"/>
          </w:tcPr>
          <w:p w14:paraId="49E384BC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hAnsi="Times New Roman"/>
                <w:sz w:val="24"/>
                <w:szCs w:val="24"/>
              </w:rPr>
              <w:t>Исследования</w:t>
            </w:r>
          </w:p>
          <w:p w14:paraId="3867EAC7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14:paraId="05A69CE7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22" w:name="_Hlk38289883"/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снижение массы тела, повыше-ние уровня липазы и амилазы в плазме крови </w:t>
            </w:r>
          </w:p>
          <w:bookmarkEnd w:id="22"/>
          <w:p w14:paraId="63DDFDC4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85" w:type="pct"/>
          </w:tcPr>
          <w:p w14:paraId="565D3CB7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3FD">
              <w:rPr>
                <w:rFonts w:ascii="Times New Roman" w:hAnsi="Times New Roman"/>
                <w:color w:val="000000"/>
                <w:sz w:val="24"/>
                <w:szCs w:val="24"/>
              </w:rPr>
              <w:t>транзиторное повышение уровня трансаминаз в плазме крови</w:t>
            </w:r>
          </w:p>
        </w:tc>
        <w:tc>
          <w:tcPr>
            <w:tcW w:w="856" w:type="pct"/>
          </w:tcPr>
          <w:p w14:paraId="51EF23A1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транзиторное повышение уровня щелочной фосфатазы в крови, отклонение </w:t>
            </w:r>
          </w:p>
          <w:p w14:paraId="5E36A796" w14:textId="77777777" w:rsidR="00A923FD" w:rsidRPr="00A923FD" w:rsidRDefault="00A923FD" w:rsidP="00F47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3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от нормы уровня протромбина и значений </w:t>
            </w:r>
          </w:p>
          <w:p w14:paraId="71C805FF" w14:textId="77777777" w:rsidR="00A923FD" w:rsidRPr="00A923FD" w:rsidRDefault="00A923FD" w:rsidP="00F47DBB">
            <w:pPr>
              <w:pStyle w:val="23"/>
              <w:keepNext/>
              <w:keepLines/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923FD">
              <w:rPr>
                <w:rFonts w:ascii="Times New Roman" w:hAnsi="Times New Roman"/>
                <w:color w:val="000000"/>
                <w:sz w:val="24"/>
                <w:szCs w:val="24"/>
              </w:rPr>
              <w:t>МНО**</w:t>
            </w:r>
          </w:p>
        </w:tc>
        <w:tc>
          <w:tcPr>
            <w:tcW w:w="927" w:type="pct"/>
          </w:tcPr>
          <w:p w14:paraId="219B060B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44" w:type="pct"/>
          </w:tcPr>
          <w:p w14:paraId="534397F5" w14:textId="77777777" w:rsidR="00A923FD" w:rsidRPr="00A923FD" w:rsidRDefault="00A923FD" w:rsidP="00F47DBB">
            <w:pPr>
              <w:pStyle w:val="23"/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45A83FD3" w14:textId="77777777" w:rsidR="00A923FD" w:rsidRPr="0025095A" w:rsidRDefault="00A923FD" w:rsidP="00A9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25095A">
        <w:rPr>
          <w:rFonts w:ascii="Times New Roman" w:eastAsia="Times New Roman" w:hAnsi="Times New Roman"/>
          <w:color w:val="000000"/>
        </w:rPr>
        <w:t>* побочные реакции, которые</w:t>
      </w:r>
      <w:r w:rsidRPr="0025095A">
        <w:rPr>
          <w:rFonts w:ascii="Times New Roman" w:eastAsia="Times New Roman" w:hAnsi="Times New Roman"/>
          <w:color w:val="000000"/>
          <w:lang w:val="en-US"/>
        </w:rPr>
        <w:t> </w:t>
      </w:r>
      <w:r w:rsidRPr="0025095A">
        <w:rPr>
          <w:rFonts w:ascii="Times New Roman" w:eastAsia="Times New Roman" w:hAnsi="Times New Roman"/>
          <w:color w:val="000000"/>
        </w:rPr>
        <w:t xml:space="preserve">могут угрожать жизни или иметь летальный исход. Такие побочные эффекты наблюдались нечасто или с частотой менее чем «нечасто». </w:t>
      </w:r>
    </w:p>
    <w:p w14:paraId="62A55592" w14:textId="77777777" w:rsidR="00A923FD" w:rsidRPr="0025095A" w:rsidRDefault="00A923FD" w:rsidP="00A9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25095A">
        <w:rPr>
          <w:rFonts w:ascii="Times New Roman" w:eastAsia="Times New Roman" w:hAnsi="Times New Roman"/>
          <w:color w:val="000000"/>
        </w:rPr>
        <w:t xml:space="preserve">** МНО рассчитывается по формуле: </w:t>
      </w:r>
      <w:r w:rsidRPr="0025095A">
        <w:rPr>
          <w:rFonts w:ascii="Times New Roman" w:eastAsia="Times New Roman" w:hAnsi="Times New Roman"/>
          <w:color w:val="000000"/>
          <w:lang w:val="en-US"/>
        </w:rPr>
        <w:t>INR</w:t>
      </w:r>
      <w:r w:rsidRPr="0025095A">
        <w:rPr>
          <w:rFonts w:ascii="Times New Roman" w:eastAsia="Times New Roman" w:hAnsi="Times New Roman"/>
          <w:color w:val="000000"/>
        </w:rPr>
        <w:t xml:space="preserve"> (МНО) = (Протромбиновое время пациента/ Нормальное среднее протромбиновое время)</w:t>
      </w:r>
      <w:r w:rsidRPr="0025095A">
        <w:rPr>
          <w:rFonts w:ascii="Times New Roman" w:eastAsia="Times New Roman" w:hAnsi="Times New Roman"/>
          <w:color w:val="000000"/>
          <w:vertAlign w:val="superscript"/>
          <w:lang w:val="en-US"/>
        </w:rPr>
        <w:t>isi</w:t>
      </w:r>
      <w:r w:rsidRPr="0025095A">
        <w:rPr>
          <w:rFonts w:ascii="Times New Roman" w:eastAsia="Times New Roman" w:hAnsi="Times New Roman"/>
          <w:color w:val="000000"/>
        </w:rPr>
        <w:t xml:space="preserve">  где </w:t>
      </w:r>
      <w:r w:rsidRPr="0025095A">
        <w:rPr>
          <w:rFonts w:ascii="Times New Roman" w:eastAsia="Times New Roman" w:hAnsi="Times New Roman"/>
          <w:color w:val="000000"/>
          <w:lang w:val="en-US"/>
        </w:rPr>
        <w:t>ISI</w:t>
      </w:r>
      <w:r w:rsidRPr="0025095A">
        <w:rPr>
          <w:rFonts w:ascii="Times New Roman" w:eastAsia="Times New Roman" w:hAnsi="Times New Roman"/>
          <w:color w:val="000000"/>
        </w:rPr>
        <w:t xml:space="preserve"> (</w:t>
      </w:r>
      <w:r w:rsidRPr="0025095A">
        <w:rPr>
          <w:rFonts w:ascii="Times New Roman" w:eastAsia="Times New Roman" w:hAnsi="Times New Roman"/>
          <w:color w:val="000000"/>
          <w:lang w:val="en-US"/>
        </w:rPr>
        <w:t>International</w:t>
      </w:r>
      <w:r w:rsidRPr="0025095A">
        <w:rPr>
          <w:rFonts w:ascii="Times New Roman" w:eastAsia="Times New Roman" w:hAnsi="Times New Roman"/>
          <w:color w:val="000000"/>
        </w:rPr>
        <w:t xml:space="preserve"> </w:t>
      </w:r>
      <w:r w:rsidRPr="0025095A">
        <w:rPr>
          <w:rFonts w:ascii="Times New Roman" w:eastAsia="Times New Roman" w:hAnsi="Times New Roman"/>
          <w:color w:val="000000"/>
          <w:lang w:val="en-US"/>
        </w:rPr>
        <w:t>Sensitivity</w:t>
      </w:r>
      <w:r w:rsidRPr="0025095A">
        <w:rPr>
          <w:rFonts w:ascii="Times New Roman" w:eastAsia="Times New Roman" w:hAnsi="Times New Roman"/>
          <w:color w:val="000000"/>
        </w:rPr>
        <w:t xml:space="preserve"> </w:t>
      </w:r>
      <w:r w:rsidRPr="0025095A">
        <w:rPr>
          <w:rFonts w:ascii="Times New Roman" w:eastAsia="Times New Roman" w:hAnsi="Times New Roman"/>
          <w:color w:val="000000"/>
          <w:lang w:val="en-US"/>
        </w:rPr>
        <w:t>Index</w:t>
      </w:r>
      <w:r w:rsidRPr="0025095A">
        <w:rPr>
          <w:rFonts w:ascii="Times New Roman" w:eastAsia="Times New Roman" w:hAnsi="Times New Roman"/>
          <w:color w:val="000000"/>
        </w:rPr>
        <w:t xml:space="preserve"> </w:t>
      </w:r>
      <w:r w:rsidRPr="0025095A">
        <w:rPr>
          <w:rFonts w:ascii="Times New Roman" w:eastAsia="Times New Roman" w:hAnsi="Times New Roman"/>
          <w:color w:val="000000"/>
          <w:lang w:val="en-US"/>
        </w:rPr>
        <w:t>of</w:t>
      </w:r>
      <w:r w:rsidRPr="0025095A">
        <w:rPr>
          <w:rFonts w:ascii="Times New Roman" w:eastAsia="Times New Roman" w:hAnsi="Times New Roman"/>
          <w:color w:val="000000"/>
        </w:rPr>
        <w:t xml:space="preserve"> </w:t>
      </w:r>
      <w:r w:rsidRPr="0025095A">
        <w:rPr>
          <w:rFonts w:ascii="Times New Roman" w:eastAsia="Times New Roman" w:hAnsi="Times New Roman"/>
          <w:color w:val="000000"/>
          <w:lang w:val="en-US"/>
        </w:rPr>
        <w:t>thromboplastin</w:t>
      </w:r>
      <w:r w:rsidRPr="0025095A">
        <w:rPr>
          <w:rFonts w:ascii="Times New Roman" w:eastAsia="Times New Roman" w:hAnsi="Times New Roman"/>
          <w:color w:val="000000"/>
        </w:rPr>
        <w:t xml:space="preserve">), он же МИЧ (Международный индекс чувствительности) - показатель чувствительности тромбопластина, стандартизующий его относительно международного стандарта. </w:t>
      </w:r>
    </w:p>
    <w:p w14:paraId="7BD0ACA9" w14:textId="77777777" w:rsidR="00A923FD" w:rsidRDefault="00A923FD" w:rsidP="00A9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25095A">
        <w:rPr>
          <w:rFonts w:ascii="Times New Roman" w:hAnsi="Times New Roman"/>
        </w:rPr>
        <w:t xml:space="preserve">° </w:t>
      </w:r>
      <w:r w:rsidRPr="0025095A">
        <w:rPr>
          <w:rFonts w:ascii="Times New Roman" w:eastAsia="Times New Roman" w:hAnsi="Times New Roman"/>
          <w:color w:val="000000"/>
        </w:rPr>
        <w:t xml:space="preserve">Случаи были зарегистрированы в </w:t>
      </w:r>
      <w:r w:rsidR="001C562F">
        <w:rPr>
          <w:rFonts w:ascii="Times New Roman" w:eastAsia="Times New Roman" w:hAnsi="Times New Roman"/>
          <w:color w:val="000000"/>
        </w:rPr>
        <w:t>пострегистрационный период</w:t>
      </w:r>
      <w:r w:rsidRPr="0025095A">
        <w:rPr>
          <w:rFonts w:ascii="Times New Roman" w:eastAsia="Times New Roman" w:hAnsi="Times New Roman"/>
          <w:color w:val="000000"/>
        </w:rPr>
        <w:t>.</w:t>
      </w:r>
    </w:p>
    <w:p w14:paraId="0F7CBB72" w14:textId="77777777" w:rsidR="00BC142F" w:rsidRPr="008924CE" w:rsidRDefault="00BC142F" w:rsidP="00BC142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D3394">
        <w:rPr>
          <w:rFonts w:ascii="Times New Roman" w:eastAsia="Times New Roman" w:hAnsi="Times New Roman"/>
          <w:i/>
          <w:sz w:val="24"/>
          <w:szCs w:val="24"/>
        </w:rPr>
        <w:t xml:space="preserve">Дополнительная информация о некоторых нежелательных реакциях препарата </w:t>
      </w:r>
    </w:p>
    <w:p w14:paraId="3F2FB531" w14:textId="77777777" w:rsidR="00BC142F" w:rsidRPr="003A0024" w:rsidRDefault="00BC142F" w:rsidP="00BC142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3A0024">
        <w:rPr>
          <w:rFonts w:ascii="Times New Roman" w:eastAsia="Times New Roman" w:hAnsi="Times New Roman"/>
          <w:i/>
          <w:sz w:val="24"/>
          <w:szCs w:val="24"/>
        </w:rPr>
        <w:t>Застойная сердечная недостаточность</w:t>
      </w:r>
    </w:p>
    <w:p w14:paraId="2446FC28" w14:textId="77777777" w:rsidR="00BC142F" w:rsidRPr="00DD3394" w:rsidRDefault="00BC142F" w:rsidP="00BC142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34136">
        <w:rPr>
          <w:rFonts w:ascii="Times New Roman" w:eastAsia="Times New Roman" w:hAnsi="Times New Roman"/>
          <w:sz w:val="24"/>
          <w:szCs w:val="24"/>
        </w:rPr>
        <w:t xml:space="preserve">В спонсируемых клинических исследованиях застойная сердечная недостаточность была зарегистрирована как нежелательная реакция у 1,9% пациентов, получавших </w:t>
      </w:r>
      <w:r>
        <w:rPr>
          <w:rFonts w:ascii="Times New Roman" w:eastAsia="Times New Roman" w:hAnsi="Times New Roman"/>
          <w:sz w:val="24"/>
          <w:szCs w:val="24"/>
        </w:rPr>
        <w:lastRenderedPageBreak/>
        <w:t>с</w:t>
      </w:r>
      <w:r w:rsidRPr="00134136">
        <w:rPr>
          <w:rFonts w:ascii="Times New Roman" w:eastAsia="Times New Roman" w:hAnsi="Times New Roman"/>
          <w:sz w:val="24"/>
          <w:szCs w:val="24"/>
        </w:rPr>
        <w:t>орафениб (N= 2276). В исследовании 11213 (RCC) нежелательные реакци</w:t>
      </w:r>
      <w:r w:rsidRPr="00DD3394">
        <w:rPr>
          <w:rFonts w:ascii="Times New Roman" w:eastAsia="Times New Roman" w:hAnsi="Times New Roman"/>
          <w:sz w:val="24"/>
          <w:szCs w:val="24"/>
        </w:rPr>
        <w:t>и, связанные с застойной сердечной недостаточностью, были зарегистрированы у 1,7% пациентов, получавших сорафениб, и у 0,7%, получавших плацебо. В исследовании 100554 (</w:t>
      </w:r>
      <w:r w:rsidRPr="00DD3394">
        <w:rPr>
          <w:rFonts w:ascii="Times New Roman" w:hAnsi="Times New Roman"/>
          <w:sz w:val="24"/>
          <w:szCs w:val="24"/>
          <w:lang w:val="en-GB" w:eastAsia="de-DE"/>
        </w:rPr>
        <w:t>HCC</w:t>
      </w:r>
      <w:r w:rsidRPr="00DD3394">
        <w:rPr>
          <w:rFonts w:ascii="Times New Roman" w:eastAsia="Times New Roman" w:hAnsi="Times New Roman"/>
          <w:sz w:val="24"/>
          <w:szCs w:val="24"/>
        </w:rPr>
        <w:t xml:space="preserve">) сообщалось о таких случаях у 0,99% пациентов, получавших </w:t>
      </w:r>
      <w:r>
        <w:rPr>
          <w:rFonts w:ascii="Times New Roman" w:eastAsia="Times New Roman" w:hAnsi="Times New Roman"/>
          <w:sz w:val="24"/>
          <w:szCs w:val="24"/>
        </w:rPr>
        <w:t>с</w:t>
      </w:r>
      <w:r w:rsidRPr="00DD3394">
        <w:rPr>
          <w:rFonts w:ascii="Times New Roman" w:eastAsia="Times New Roman" w:hAnsi="Times New Roman"/>
          <w:sz w:val="24"/>
          <w:szCs w:val="24"/>
        </w:rPr>
        <w:t>орафениб, и 1,1% пациентов, получавших плацебо.</w:t>
      </w:r>
    </w:p>
    <w:p w14:paraId="52445ED3" w14:textId="77777777" w:rsidR="00BC142F" w:rsidRPr="00DD3394" w:rsidRDefault="00BC142F" w:rsidP="00BC142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D3394">
        <w:rPr>
          <w:rFonts w:ascii="Times New Roman" w:eastAsia="Times New Roman" w:hAnsi="Times New Roman"/>
          <w:i/>
          <w:sz w:val="24"/>
          <w:szCs w:val="24"/>
        </w:rPr>
        <w:t>Дополнительная информация по особым популяциям</w:t>
      </w:r>
    </w:p>
    <w:p w14:paraId="23F6ABC1" w14:textId="77777777" w:rsidR="00BC142F" w:rsidRPr="00DD3394" w:rsidRDefault="00BC142F" w:rsidP="00BC1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D3394">
        <w:rPr>
          <w:rFonts w:ascii="Times New Roman" w:eastAsia="Times New Roman" w:hAnsi="Times New Roman"/>
          <w:sz w:val="24"/>
          <w:szCs w:val="24"/>
        </w:rPr>
        <w:t xml:space="preserve">По данным клинических исследований, некоторые побочные реакции, такие как </w:t>
      </w:r>
      <w:r>
        <w:rPr>
          <w:rFonts w:ascii="Times New Roman" w:eastAsia="Times New Roman" w:hAnsi="Times New Roman"/>
          <w:sz w:val="24"/>
          <w:szCs w:val="24"/>
        </w:rPr>
        <w:t xml:space="preserve">кожная реакия рук и ног, </w:t>
      </w:r>
      <w:r w:rsidRPr="00DD3394">
        <w:rPr>
          <w:rFonts w:ascii="Times New Roman" w:eastAsia="Times New Roman" w:hAnsi="Times New Roman"/>
          <w:sz w:val="24"/>
          <w:szCs w:val="24"/>
        </w:rPr>
        <w:t>диарея, алопеция, снижение веса, артериальная гипертензия, гипокал</w:t>
      </w:r>
      <w:r>
        <w:rPr>
          <w:rFonts w:ascii="Times New Roman" w:eastAsia="Times New Roman" w:hAnsi="Times New Roman"/>
          <w:sz w:val="24"/>
          <w:szCs w:val="24"/>
        </w:rPr>
        <w:t>ьциемия и</w:t>
      </w:r>
      <w:r w:rsidRPr="00DD3394">
        <w:rPr>
          <w:rFonts w:ascii="Times New Roman" w:eastAsia="Times New Roman" w:hAnsi="Times New Roman"/>
          <w:sz w:val="24"/>
          <w:szCs w:val="24"/>
        </w:rPr>
        <w:t xml:space="preserve"> кератоакантома/плоскоклеточный рак кожи отмечались значительно выше у пациентов с ди</w:t>
      </w:r>
      <w:r w:rsidRPr="00DD3394">
        <w:rPr>
          <w:rFonts w:ascii="Times New Roman" w:eastAsia="Times New Roman" w:hAnsi="Times New Roman"/>
          <w:snapToGrid w:val="0"/>
          <w:sz w:val="24"/>
          <w:szCs w:val="24"/>
        </w:rPr>
        <w:t xml:space="preserve">фференцированным раком щитовидной железы в сравнении с исследованиями у пациентов с </w:t>
      </w:r>
      <w:r w:rsidRPr="00DD3394">
        <w:rPr>
          <w:rFonts w:ascii="Times New Roman" w:eastAsia="Times New Roman" w:hAnsi="Times New Roman"/>
          <w:sz w:val="24"/>
          <w:szCs w:val="24"/>
        </w:rPr>
        <w:t>почечно-клеточным раком или гепатоцеллюлярной карциномой.</w:t>
      </w:r>
    </w:p>
    <w:p w14:paraId="4927E28E" w14:textId="77777777" w:rsidR="00BC142F" w:rsidRPr="00DD3394" w:rsidRDefault="00BC142F" w:rsidP="00BC142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DD3394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Патологические лабораторные данные у </w:t>
      </w:r>
      <w:r w:rsidR="00594D05">
        <w:rPr>
          <w:rFonts w:ascii="Times New Roman" w:eastAsia="Times New Roman" w:hAnsi="Times New Roman"/>
          <w:i/>
          <w:color w:val="000000"/>
          <w:sz w:val="24"/>
          <w:szCs w:val="24"/>
        </w:rPr>
        <w:t>пациентов</w:t>
      </w:r>
      <w:r w:rsidRPr="00DD3394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с гепатоцеллюлярной карциномой (исследование 3) и ПКР (исследование 1)</w:t>
      </w:r>
    </w:p>
    <w:p w14:paraId="1A2B3A74" w14:textId="77777777" w:rsidR="00BC142F" w:rsidRPr="00DD3394" w:rsidRDefault="00BC142F" w:rsidP="00BC142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D3394">
        <w:rPr>
          <w:rFonts w:ascii="Times New Roman" w:eastAsia="Times New Roman" w:hAnsi="Times New Roman"/>
          <w:color w:val="000000"/>
          <w:sz w:val="24"/>
          <w:szCs w:val="24"/>
        </w:rPr>
        <w:t xml:space="preserve">Очень часто сообщалось о повышении уровня липазы и амилазы. Повышение уровня липазы CTCAE 3-й или 4-й степени наблюдалось у 11% и 9% пациентов в группе сорафениба в исследовании 1 (RCC) и исследовании 3 (HCC) соответственно по сравнению с 7% и 9% пациентов в группе плацебо. Повышение уровня амилазы CTCAE 3-й или 4-й степени было зарегистрировано у 1% и 2% пациентов в группе сорафениба в исследовании 1 и исследовании 3 соответственно по сравнению с 3% пациентов в каждой группе плацебо. Клинический диагноз панкреатит был установлен у 2 из 451 пациента, получавших сорафениб (CTCAE </w:t>
      </w:r>
      <w:r>
        <w:rPr>
          <w:rFonts w:ascii="Times New Roman" w:eastAsia="Times New Roman" w:hAnsi="Times New Roman"/>
          <w:color w:val="000000"/>
          <w:sz w:val="24"/>
          <w:szCs w:val="24"/>
        </w:rPr>
        <w:t>4 степени</w:t>
      </w:r>
      <w:r w:rsidRPr="00DD3394">
        <w:rPr>
          <w:rFonts w:ascii="Times New Roman" w:eastAsia="Times New Roman" w:hAnsi="Times New Roman"/>
          <w:color w:val="000000"/>
          <w:sz w:val="24"/>
          <w:szCs w:val="24"/>
        </w:rPr>
        <w:t xml:space="preserve">) в исследовании 1, 1 из 297 пациентов, получавших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DD3394">
        <w:rPr>
          <w:rFonts w:ascii="Times New Roman" w:eastAsia="Times New Roman" w:hAnsi="Times New Roman"/>
          <w:color w:val="000000"/>
          <w:sz w:val="24"/>
          <w:szCs w:val="24"/>
        </w:rPr>
        <w:t xml:space="preserve">орафениб в исследовании 3 (CTCAE </w:t>
      </w:r>
      <w:r>
        <w:rPr>
          <w:rFonts w:ascii="Times New Roman" w:eastAsia="Times New Roman" w:hAnsi="Times New Roman"/>
          <w:color w:val="000000"/>
          <w:sz w:val="24"/>
          <w:szCs w:val="24"/>
        </w:rPr>
        <w:t>2 степени</w:t>
      </w:r>
      <w:r w:rsidRPr="00DD3394">
        <w:rPr>
          <w:rFonts w:ascii="Times New Roman" w:eastAsia="Times New Roman" w:hAnsi="Times New Roman"/>
          <w:color w:val="000000"/>
          <w:sz w:val="24"/>
          <w:szCs w:val="24"/>
        </w:rPr>
        <w:t xml:space="preserve">), и 1 из 451 пациента (CTCAE </w:t>
      </w:r>
      <w:r>
        <w:rPr>
          <w:rFonts w:ascii="Times New Roman" w:eastAsia="Times New Roman" w:hAnsi="Times New Roman"/>
          <w:color w:val="000000"/>
          <w:sz w:val="24"/>
          <w:szCs w:val="24"/>
        </w:rPr>
        <w:t>2 степени</w:t>
      </w:r>
      <w:r w:rsidRPr="00DD3394">
        <w:rPr>
          <w:rFonts w:ascii="Times New Roman" w:eastAsia="Times New Roman" w:hAnsi="Times New Roman"/>
          <w:color w:val="000000"/>
          <w:sz w:val="24"/>
          <w:szCs w:val="24"/>
        </w:rPr>
        <w:t>) в группе плацебо в исследовании.</w:t>
      </w:r>
    </w:p>
    <w:p w14:paraId="076E37F4" w14:textId="77777777" w:rsidR="00BC142F" w:rsidRPr="00DD3394" w:rsidRDefault="00BC142F" w:rsidP="00BC142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D3394">
        <w:rPr>
          <w:rFonts w:ascii="Times New Roman" w:eastAsia="Times New Roman" w:hAnsi="Times New Roman"/>
          <w:color w:val="000000"/>
          <w:sz w:val="24"/>
          <w:szCs w:val="24"/>
        </w:rPr>
        <w:t xml:space="preserve">Гипофосфатемия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являлось часто</w:t>
      </w:r>
      <w:r w:rsidRPr="00DD3394">
        <w:rPr>
          <w:rFonts w:ascii="Times New Roman" w:eastAsia="Times New Roman" w:hAnsi="Times New Roman"/>
          <w:color w:val="000000"/>
          <w:sz w:val="24"/>
          <w:szCs w:val="24"/>
        </w:rPr>
        <w:t xml:space="preserve"> распространенн</w:t>
      </w:r>
      <w:r>
        <w:rPr>
          <w:rFonts w:ascii="Times New Roman" w:eastAsia="Times New Roman" w:hAnsi="Times New Roman"/>
          <w:color w:val="000000"/>
          <w:sz w:val="24"/>
          <w:szCs w:val="24"/>
        </w:rPr>
        <w:t>ым</w:t>
      </w:r>
      <w:r w:rsidRPr="00DD3394">
        <w:rPr>
          <w:rFonts w:ascii="Times New Roman" w:eastAsia="Times New Roman" w:hAnsi="Times New Roman"/>
          <w:color w:val="000000"/>
          <w:sz w:val="24"/>
          <w:szCs w:val="24"/>
        </w:rPr>
        <w:t xml:space="preserve"> лабораторным за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DD3394">
        <w:rPr>
          <w:rFonts w:ascii="Times New Roman" w:eastAsia="Times New Roman" w:hAnsi="Times New Roman"/>
          <w:color w:val="000000"/>
          <w:sz w:val="24"/>
          <w:szCs w:val="24"/>
        </w:rPr>
        <w:t>лючением, наблюдавш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имся</w:t>
      </w:r>
      <w:r w:rsidRPr="00DD3394">
        <w:rPr>
          <w:rFonts w:ascii="Times New Roman" w:eastAsia="Times New Roman" w:hAnsi="Times New Roman"/>
          <w:color w:val="000000"/>
          <w:sz w:val="24"/>
          <w:szCs w:val="24"/>
        </w:rPr>
        <w:t xml:space="preserve"> у 45% и 35% пациентов, получавших сорафениб, по сравнению с 12% и 11% пациентов, получавших плацебо в исследовании 1 и исследовании 3 соответственно. Гипофосфатемия CTCAE 3–й степени (1-2 мг/дл) в исследовании 1 наблюдалась у 13% пациентов, получавших сорафениб, и у 3% пациентов в группе плацебо, в исследовании 3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D3394">
        <w:rPr>
          <w:rFonts w:ascii="Times New Roman" w:eastAsia="Times New Roman" w:hAnsi="Times New Roman"/>
          <w:color w:val="000000"/>
          <w:sz w:val="24"/>
          <w:szCs w:val="24"/>
        </w:rPr>
        <w:t>у 11% пациентов, получавших сорафениб, и у 2% пациентов в группе плацебо. Не было зарегистрировано ни одного случая гипофосфатемии CTCAE 4-й степени (&lt; 1 мг/дл) ни у пациентов принимающих сорафениб, ни у пациентов с плацебо в исследовании 1, а также 1 случая в группе плацебо в исследовании 3. Этиология гипофосфатемии, связанной с приемом сорафениба, неизвестна.</w:t>
      </w:r>
    </w:p>
    <w:p w14:paraId="2A654DE1" w14:textId="77777777" w:rsidR="00BC142F" w:rsidRPr="00DD3394" w:rsidRDefault="00BC142F" w:rsidP="00BC142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D3394">
        <w:rPr>
          <w:rFonts w:ascii="Times New Roman" w:eastAsia="Times New Roman" w:hAnsi="Times New Roman"/>
          <w:color w:val="000000"/>
          <w:sz w:val="24"/>
          <w:szCs w:val="24"/>
        </w:rPr>
        <w:t>Лабораторные нарушения CTCAE 3-й или 4-й степени, встречающиеся у ≥ 5% пациентов, получавших сорафениб, включали лимфопению и нейтропению.</w:t>
      </w:r>
    </w:p>
    <w:p w14:paraId="0B697A19" w14:textId="77777777" w:rsidR="00BC142F" w:rsidRPr="00DD3394" w:rsidRDefault="00BC142F" w:rsidP="00BC142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D3394">
        <w:rPr>
          <w:rFonts w:ascii="Times New Roman" w:eastAsia="Times New Roman" w:hAnsi="Times New Roman"/>
          <w:color w:val="000000"/>
          <w:sz w:val="24"/>
          <w:szCs w:val="24"/>
        </w:rPr>
        <w:t xml:space="preserve">Гипокальциемия отмечалась у 12% и 26,5% пациентов, получавших сорафениб, по сравнению с 7,5% и 14,8% пациентов, получавших плацебо в исследовании 1 и исследовании 3 соответственно. Большинство сообщений о гипокальциемии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имели</w:t>
      </w:r>
      <w:r w:rsidRPr="00DD339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минимальную степень</w:t>
      </w:r>
      <w:r w:rsidRPr="00DD3394">
        <w:rPr>
          <w:rFonts w:ascii="Times New Roman" w:eastAsia="Times New Roman" w:hAnsi="Times New Roman"/>
          <w:color w:val="000000"/>
          <w:sz w:val="24"/>
          <w:szCs w:val="24"/>
        </w:rPr>
        <w:t xml:space="preserve"> (CTCAE </w:t>
      </w:r>
      <w:r>
        <w:rPr>
          <w:rFonts w:ascii="Times New Roman" w:eastAsia="Times New Roman" w:hAnsi="Times New Roman"/>
          <w:color w:val="000000"/>
          <w:sz w:val="24"/>
          <w:szCs w:val="24"/>
        </w:rPr>
        <w:t>1 и 2 степени</w:t>
      </w:r>
      <w:r w:rsidRPr="00DD3394">
        <w:rPr>
          <w:rFonts w:ascii="Times New Roman" w:eastAsia="Times New Roman" w:hAnsi="Times New Roman"/>
          <w:color w:val="000000"/>
          <w:sz w:val="24"/>
          <w:szCs w:val="24"/>
        </w:rPr>
        <w:t xml:space="preserve">). Гипокальциемия CTCAE 3-й степени (6,0-7,0 </w:t>
      </w:r>
      <w:r>
        <w:rPr>
          <w:rFonts w:ascii="Times New Roman" w:eastAsia="TimesNewRoman" w:hAnsi="Times New Roman"/>
          <w:sz w:val="24"/>
          <w:szCs w:val="24"/>
        </w:rPr>
        <w:t>мг</w:t>
      </w:r>
      <w:r w:rsidRPr="00DD3394">
        <w:rPr>
          <w:rFonts w:ascii="Times New Roman" w:eastAsia="TimesNewRoman" w:hAnsi="Times New Roman"/>
          <w:sz w:val="24"/>
          <w:szCs w:val="24"/>
        </w:rPr>
        <w:t>/</w:t>
      </w:r>
      <w:r>
        <w:rPr>
          <w:rFonts w:ascii="Times New Roman" w:eastAsia="TimesNewRoman" w:hAnsi="Times New Roman"/>
          <w:sz w:val="24"/>
          <w:szCs w:val="24"/>
        </w:rPr>
        <w:t>дл</w:t>
      </w:r>
      <w:r w:rsidRPr="00DD3394">
        <w:rPr>
          <w:rFonts w:ascii="Times New Roman" w:eastAsia="Times New Roman" w:hAnsi="Times New Roman"/>
          <w:color w:val="000000"/>
          <w:sz w:val="24"/>
          <w:szCs w:val="24"/>
        </w:rPr>
        <w:t xml:space="preserve">) наблюдалась у 1,1% и 1,8% пациентов, получавших сорафениб, и у 0,2% и 1,1% пациентов в группе плацебо, а гипокальциемия CTCAE 4-й степени (&lt; 6,0 </w:t>
      </w:r>
      <w:r>
        <w:rPr>
          <w:rFonts w:ascii="Times New Roman" w:eastAsia="TimesNewRoman" w:hAnsi="Times New Roman"/>
          <w:sz w:val="24"/>
          <w:szCs w:val="24"/>
        </w:rPr>
        <w:t>мг/</w:t>
      </w:r>
      <w:r w:rsidRPr="00DD3394">
        <w:rPr>
          <w:rFonts w:ascii="Times New Roman" w:eastAsia="TimesNewRoman" w:hAnsi="Times New Roman"/>
          <w:sz w:val="24"/>
          <w:szCs w:val="24"/>
        </w:rPr>
        <w:t xml:space="preserve"> /</w:t>
      </w:r>
      <w:r>
        <w:rPr>
          <w:rFonts w:ascii="Times New Roman" w:eastAsia="TimesNewRoman" w:hAnsi="Times New Roman"/>
          <w:sz w:val="24"/>
          <w:szCs w:val="24"/>
        </w:rPr>
        <w:t>дл</w:t>
      </w:r>
      <w:r w:rsidRPr="00DD3394">
        <w:rPr>
          <w:rFonts w:ascii="Times New Roman" w:eastAsia="Times New Roman" w:hAnsi="Times New Roman"/>
          <w:color w:val="000000"/>
          <w:sz w:val="24"/>
          <w:szCs w:val="24"/>
        </w:rPr>
        <w:t>) - у 1,1% и 0,4% пациентов, получавших сорафениб, и у 0,5% и 0% пациентов в группе плацебо в исследовании 1 и 3 соответственно. Этиология гипокальциемии, связанной с приемом сорафениба, неизвестна.</w:t>
      </w:r>
    </w:p>
    <w:p w14:paraId="687DBDE3" w14:textId="77777777" w:rsidR="00BC142F" w:rsidRPr="00DD3394" w:rsidRDefault="00BC142F" w:rsidP="00BC14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394">
        <w:rPr>
          <w:rFonts w:ascii="Times New Roman" w:hAnsi="Times New Roman"/>
          <w:sz w:val="24"/>
          <w:szCs w:val="24"/>
        </w:rPr>
        <w:t xml:space="preserve">В исследованиях 1 и 3 снижение калия наблюдалось у 5,4% и 9,5% пациентов, получавших сорафениб, по сравнению с 0,7% и 5,9% пациентов, получавших плацебо, соответственно. Большинство сообщений о гипокалиемии </w:t>
      </w:r>
      <w:r>
        <w:rPr>
          <w:rFonts w:ascii="Times New Roman" w:hAnsi="Times New Roman"/>
          <w:sz w:val="24"/>
          <w:szCs w:val="24"/>
        </w:rPr>
        <w:t>имели минимальную степень</w:t>
      </w:r>
      <w:r w:rsidRPr="00DD3394">
        <w:rPr>
          <w:rFonts w:ascii="Times New Roman" w:hAnsi="Times New Roman"/>
          <w:sz w:val="24"/>
          <w:szCs w:val="24"/>
        </w:rPr>
        <w:t xml:space="preserve"> (CTCAE </w:t>
      </w:r>
      <w:r>
        <w:rPr>
          <w:rFonts w:ascii="Times New Roman" w:hAnsi="Times New Roman"/>
          <w:sz w:val="24"/>
          <w:szCs w:val="24"/>
        </w:rPr>
        <w:t>1 степени</w:t>
      </w:r>
      <w:r w:rsidRPr="00DD3394">
        <w:rPr>
          <w:rFonts w:ascii="Times New Roman" w:hAnsi="Times New Roman"/>
          <w:sz w:val="24"/>
          <w:szCs w:val="24"/>
        </w:rPr>
        <w:t xml:space="preserve">). В этих исследованиях гипокалиемия CTCAE 3-й степени наблюдалась у 1,1% и 0,4% пациентов, получавших сорафениб, и у 0,2 % и 0,7% </w:t>
      </w:r>
      <w:r w:rsidRPr="00DD3394">
        <w:rPr>
          <w:rFonts w:ascii="Times New Roman" w:hAnsi="Times New Roman"/>
          <w:sz w:val="24"/>
          <w:szCs w:val="24"/>
        </w:rPr>
        <w:lastRenderedPageBreak/>
        <w:t>пациентов в группе плацебо. Сообщений о гипокалиемии CTCAE 4-й степени не поступало.</w:t>
      </w:r>
    </w:p>
    <w:p w14:paraId="3AEA9F22" w14:textId="77777777" w:rsidR="00BC142F" w:rsidRPr="00DD3394" w:rsidRDefault="00BC142F" w:rsidP="00BC142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3394">
        <w:rPr>
          <w:rFonts w:ascii="Times New Roman" w:hAnsi="Times New Roman"/>
          <w:i/>
          <w:sz w:val="24"/>
          <w:szCs w:val="24"/>
        </w:rPr>
        <w:t xml:space="preserve">Патологические лабораторные данные у пациентов с </w:t>
      </w:r>
      <w:r w:rsidRPr="00DD3394">
        <w:rPr>
          <w:rFonts w:ascii="Times New Roman" w:eastAsia="Times New Roman" w:hAnsi="Times New Roman"/>
          <w:i/>
          <w:sz w:val="24"/>
          <w:szCs w:val="24"/>
        </w:rPr>
        <w:t>ди</w:t>
      </w:r>
      <w:r w:rsidRPr="00DD3394">
        <w:rPr>
          <w:rFonts w:ascii="Times New Roman" w:eastAsia="Times New Roman" w:hAnsi="Times New Roman"/>
          <w:i/>
          <w:snapToGrid w:val="0"/>
          <w:sz w:val="24"/>
          <w:szCs w:val="24"/>
        </w:rPr>
        <w:t>фференцированным раком щитовидной железы</w:t>
      </w:r>
      <w:r w:rsidRPr="00DD3394">
        <w:rPr>
          <w:rFonts w:ascii="Times New Roman" w:hAnsi="Times New Roman"/>
          <w:i/>
          <w:sz w:val="24"/>
          <w:szCs w:val="24"/>
        </w:rPr>
        <w:t xml:space="preserve"> (исследование 5)</w:t>
      </w:r>
    </w:p>
    <w:p w14:paraId="55E7A3E2" w14:textId="77777777" w:rsidR="00BC142F" w:rsidRPr="00DD3394" w:rsidRDefault="00BC142F" w:rsidP="00BC14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394">
        <w:rPr>
          <w:rFonts w:ascii="Times New Roman" w:hAnsi="Times New Roman"/>
          <w:sz w:val="24"/>
          <w:szCs w:val="24"/>
        </w:rPr>
        <w:t>Гипокальциемия была зарегистрирована у 35,7% пациентов, получавших сорафениб, по сравнению с 11,0% пациентов, получавших плацебо. Большинство сообщений о гипокальциемии были низкого уровня. Гипокальциемия CTCAE 3-й степени наблюдалась у 6,8% пациентов, получавших сорафениб, и у 1,9% пациентов в группе плацебо, а гипокальциемия CTCAE 4-й степени-у 3,4% пациентов, получавших Сорафениб, и у 1,0% пациентов в группе плацебо.</w:t>
      </w:r>
    </w:p>
    <w:p w14:paraId="3286E859" w14:textId="77777777" w:rsidR="004528E1" w:rsidRDefault="00BC142F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DD3394">
        <w:rPr>
          <w:rFonts w:ascii="Times New Roman" w:hAnsi="Times New Roman"/>
          <w:sz w:val="24"/>
          <w:szCs w:val="24"/>
        </w:rPr>
        <w:t>ругие клинически значимые патологические лабораторные данные, наблюдавшиеся в исследовании 5, приведены в таблице 2.</w:t>
      </w:r>
    </w:p>
    <w:p w14:paraId="7C8C709A" w14:textId="77777777" w:rsidR="00BC142F" w:rsidRDefault="00B64569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4569">
        <w:rPr>
          <w:rFonts w:ascii="Times New Roman" w:hAnsi="Times New Roman"/>
          <w:sz w:val="24"/>
          <w:szCs w:val="24"/>
        </w:rPr>
        <w:t>Таблица 2: Появившийся во время лечения патологические лабораторные данные, выявленные у пациента с дифференцированным раком щитовидной железы (исследование 5) в двойном слепом периоде</w:t>
      </w:r>
    </w:p>
    <w:tbl>
      <w:tblPr>
        <w:tblW w:w="907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130"/>
        <w:gridCol w:w="1134"/>
        <w:gridCol w:w="992"/>
        <w:gridCol w:w="992"/>
        <w:gridCol w:w="1134"/>
        <w:gridCol w:w="992"/>
      </w:tblGrid>
      <w:tr w:rsidR="00B64569" w:rsidRPr="00DD3394" w14:paraId="20837065" w14:textId="77777777" w:rsidTr="00B64569">
        <w:trPr>
          <w:trHeight w:val="141"/>
          <w:tblHeader/>
        </w:trPr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2C8AEB8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</w:pPr>
            <w:r w:rsidRPr="00C81FDE"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  <w:t>Лабораторные</w:t>
            </w:r>
            <w:r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  <w:t xml:space="preserve"> </w:t>
            </w:r>
            <w:r w:rsidRPr="00C81FDE"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  <w:t>параметры,</w:t>
            </w:r>
          </w:p>
          <w:p w14:paraId="57E39C8A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C81FDE"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  <w:t>(в % от исследованных образцов)</w:t>
            </w:r>
          </w:p>
        </w:tc>
        <w:tc>
          <w:tcPr>
            <w:tcW w:w="325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2FDA" w14:textId="77777777" w:rsidR="00B64569" w:rsidRPr="00C81FDE" w:rsidRDefault="00B64569" w:rsidP="00B6456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ja-JP"/>
              </w:rPr>
            </w:pPr>
            <w:r w:rsidRPr="00C81FDE">
              <w:rPr>
                <w:rFonts w:ascii="Times New Roman" w:hAnsi="Times New Roman"/>
                <w:sz w:val="24"/>
                <w:szCs w:val="24"/>
                <w:lang w:eastAsia="ja-JP"/>
              </w:rPr>
              <w:t>Сорафениб</w:t>
            </w:r>
            <w:r w:rsidRPr="00C81FDE">
              <w:rPr>
                <w:rFonts w:ascii="Times New Roman" w:hAnsi="Times New Roman"/>
                <w:sz w:val="24"/>
                <w:szCs w:val="24"/>
                <w:lang w:val="en-GB" w:eastAsia="ja-JP"/>
              </w:rPr>
              <w:t xml:space="preserve"> N=207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903D" w14:textId="77777777" w:rsidR="00B64569" w:rsidRPr="00C81FDE" w:rsidRDefault="00B64569" w:rsidP="00B6456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ja-JP"/>
              </w:rPr>
            </w:pPr>
            <w:r w:rsidRPr="00C81FDE">
              <w:rPr>
                <w:rFonts w:ascii="Times New Roman" w:hAnsi="Times New Roman"/>
                <w:sz w:val="24"/>
                <w:szCs w:val="24"/>
                <w:lang w:eastAsia="ja-JP"/>
              </w:rPr>
              <w:t>Плацебо</w:t>
            </w:r>
            <w:r w:rsidRPr="00C81FDE">
              <w:rPr>
                <w:rFonts w:ascii="Times New Roman" w:hAnsi="Times New Roman"/>
                <w:sz w:val="24"/>
                <w:szCs w:val="24"/>
                <w:lang w:val="en-GB" w:eastAsia="ja-JP"/>
              </w:rPr>
              <w:t xml:space="preserve"> N=209</w:t>
            </w:r>
          </w:p>
        </w:tc>
      </w:tr>
      <w:tr w:rsidR="00B64569" w:rsidRPr="00DD3394" w14:paraId="76FED7A0" w14:textId="77777777" w:rsidTr="00B64569">
        <w:trPr>
          <w:trHeight w:val="665"/>
          <w:tblHeader/>
        </w:trPr>
        <w:tc>
          <w:tcPr>
            <w:tcW w:w="2698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6D7B8C4F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2A6B0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 w:eastAsia="ko-KR"/>
              </w:rPr>
            </w:pPr>
            <w:r w:rsidRPr="00C81FDE"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  <w:t>Все уровни</w:t>
            </w:r>
            <w:r w:rsidRPr="00C81FDE">
              <w:rPr>
                <w:rFonts w:ascii="Times New Roman" w:eastAsia="Batang" w:hAnsi="Times New Roman"/>
                <w:bCs/>
                <w:sz w:val="24"/>
                <w:szCs w:val="24"/>
                <w:lang w:val="en-GB" w:eastAsia="ko-KR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18EAC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 w:eastAsia="ko-KR"/>
              </w:rPr>
            </w:pPr>
            <w:r w:rsidRPr="00C81FDE"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  <w:t>Уровень</w:t>
            </w:r>
            <w:r w:rsidRPr="00C81FDE">
              <w:rPr>
                <w:rFonts w:ascii="Times New Roman" w:eastAsia="Batang" w:hAnsi="Times New Roman"/>
                <w:bCs/>
                <w:sz w:val="24"/>
                <w:szCs w:val="24"/>
                <w:lang w:val="en-GB" w:eastAsia="ko-KR"/>
              </w:rPr>
              <w:t xml:space="preserve"> 3*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B2312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 w:eastAsia="ko-KR"/>
              </w:rPr>
            </w:pPr>
            <w:r w:rsidRPr="00C81FDE"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  <w:t>Уровень</w:t>
            </w:r>
            <w:r w:rsidRPr="00C81FDE">
              <w:rPr>
                <w:rFonts w:ascii="Times New Roman" w:eastAsia="Batang" w:hAnsi="Times New Roman"/>
                <w:bCs/>
                <w:sz w:val="24"/>
                <w:szCs w:val="24"/>
                <w:lang w:val="en-GB" w:eastAsia="ko-KR"/>
              </w:rPr>
              <w:t xml:space="preserve"> 4*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8D2110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 w:eastAsia="ko-KR"/>
              </w:rPr>
            </w:pPr>
            <w:r w:rsidRPr="00C81FDE"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  <w:t>Все уровни</w:t>
            </w:r>
            <w:r w:rsidRPr="00C81FDE">
              <w:rPr>
                <w:rFonts w:ascii="Times New Roman" w:eastAsia="Batang" w:hAnsi="Times New Roman"/>
                <w:bCs/>
                <w:sz w:val="24"/>
                <w:szCs w:val="24"/>
                <w:lang w:val="en-GB" w:eastAsia="ko-KR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3A2D24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 w:eastAsia="ko-KR"/>
              </w:rPr>
            </w:pPr>
            <w:r w:rsidRPr="00C81FDE"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  <w:t xml:space="preserve">Уровень </w:t>
            </w:r>
            <w:r w:rsidRPr="00C81FDE">
              <w:rPr>
                <w:rFonts w:ascii="Times New Roman" w:eastAsia="Batang" w:hAnsi="Times New Roman"/>
                <w:bCs/>
                <w:sz w:val="24"/>
                <w:szCs w:val="24"/>
                <w:lang w:val="en-GB" w:eastAsia="ko-KR"/>
              </w:rPr>
              <w:t>3*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E29F1D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 w:eastAsia="ko-KR"/>
              </w:rPr>
            </w:pPr>
            <w:r w:rsidRPr="00C81FDE"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  <w:t>Уровень</w:t>
            </w:r>
            <w:r w:rsidRPr="00C81FDE">
              <w:rPr>
                <w:rFonts w:ascii="Times New Roman" w:eastAsia="Batang" w:hAnsi="Times New Roman"/>
                <w:bCs/>
                <w:sz w:val="24"/>
                <w:szCs w:val="24"/>
                <w:lang w:val="en-GB" w:eastAsia="ko-KR"/>
              </w:rPr>
              <w:t xml:space="preserve"> 4*</w:t>
            </w:r>
          </w:p>
        </w:tc>
      </w:tr>
      <w:tr w:rsidR="00B64569" w:rsidRPr="00DD3394" w14:paraId="6E98DEBA" w14:textId="77777777" w:rsidTr="00B64569">
        <w:trPr>
          <w:trHeight w:val="30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08E4" w14:textId="77777777" w:rsidR="00B64569" w:rsidRPr="00C81FDE" w:rsidRDefault="00B64569" w:rsidP="00B6456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C81FDE">
              <w:rPr>
                <w:rFonts w:ascii="Times New Roman" w:eastAsia="Batang" w:hAnsi="Times New Roman"/>
                <w:bCs/>
                <w:sz w:val="24"/>
                <w:szCs w:val="24"/>
              </w:rPr>
              <w:t>Нарушение кровеносной и лимфатической системы</w:t>
            </w:r>
          </w:p>
        </w:tc>
      </w:tr>
      <w:tr w:rsidR="00B64569" w:rsidRPr="00DD3394" w14:paraId="1542307B" w14:textId="77777777" w:rsidTr="00B64569">
        <w:trPr>
          <w:trHeight w:val="261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85D8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C81FDE">
              <w:rPr>
                <w:rFonts w:ascii="Times New Roman" w:hAnsi="Times New Roman"/>
                <w:sz w:val="24"/>
                <w:szCs w:val="24"/>
              </w:rPr>
              <w:t>Анемия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AE78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30.9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2D4D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B88B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709C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23.4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C86C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901B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</w:tr>
      <w:tr w:rsidR="00B64569" w:rsidRPr="00DD3394" w14:paraId="3CCC4D13" w14:textId="77777777" w:rsidTr="00B64569">
        <w:trPr>
          <w:trHeight w:val="275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9BE7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C81FDE">
              <w:rPr>
                <w:rFonts w:ascii="Times New Roman" w:hAnsi="Times New Roman"/>
                <w:sz w:val="24"/>
                <w:szCs w:val="24"/>
              </w:rPr>
              <w:t>Тромбоцитопения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AFC0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18.4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59DB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D8D5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5F03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C4D6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4246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</w:tr>
      <w:tr w:rsidR="00B64569" w:rsidRPr="00DD3394" w14:paraId="56C6D424" w14:textId="77777777" w:rsidTr="00B64569">
        <w:trPr>
          <w:trHeight w:val="278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9CFC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C81FDE">
              <w:rPr>
                <w:rFonts w:ascii="Times New Roman" w:hAnsi="Times New Roman"/>
                <w:sz w:val="24"/>
                <w:szCs w:val="24"/>
              </w:rPr>
              <w:t>Нейтропения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232C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19.8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2E98" w14:textId="77777777" w:rsidR="00B64569" w:rsidRPr="00C81FDE" w:rsidRDefault="00B64569" w:rsidP="00B6456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4E5E" w14:textId="77777777" w:rsidR="00B64569" w:rsidRPr="00C81FDE" w:rsidRDefault="00B64569" w:rsidP="00B6456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3B20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FF55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4F60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</w:tr>
      <w:tr w:rsidR="00B64569" w:rsidRPr="00DD3394" w14:paraId="320B6CB2" w14:textId="77777777" w:rsidTr="00B64569">
        <w:trPr>
          <w:trHeight w:val="279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40BF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Batang" w:hAnsi="Times New Roman"/>
                <w:sz w:val="24"/>
                <w:szCs w:val="24"/>
              </w:rPr>
            </w:pPr>
            <w:r w:rsidRPr="00C81FDE">
              <w:rPr>
                <w:rFonts w:ascii="Times New Roman" w:hAnsi="Times New Roman"/>
                <w:sz w:val="24"/>
                <w:szCs w:val="24"/>
              </w:rPr>
              <w:t>Лимфопения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A6CB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978E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9.7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0C4F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17DB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25.8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E86D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5.3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7C76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</w:tr>
      <w:tr w:rsidR="00B64569" w:rsidRPr="00DD3394" w14:paraId="22E00E60" w14:textId="77777777" w:rsidTr="00B64569">
        <w:trPr>
          <w:trHeight w:val="516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BA7C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C81FDE">
              <w:rPr>
                <w:rFonts w:ascii="Times New Roman" w:eastAsia="Batang" w:hAnsi="Times New Roman"/>
                <w:bCs/>
                <w:sz w:val="24"/>
                <w:szCs w:val="24"/>
              </w:rPr>
              <w:t>Нарушение обмена веществ и питания</w:t>
            </w:r>
          </w:p>
        </w:tc>
      </w:tr>
      <w:tr w:rsidR="00B64569" w:rsidRPr="00DD3394" w14:paraId="15F71BB9" w14:textId="77777777" w:rsidTr="00B64569">
        <w:trPr>
          <w:trHeight w:val="458"/>
        </w:trPr>
        <w:tc>
          <w:tcPr>
            <w:tcW w:w="26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43EF0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C81FDE">
              <w:rPr>
                <w:rFonts w:ascii="Times New Roman" w:hAnsi="Times New Roman"/>
                <w:sz w:val="24"/>
                <w:szCs w:val="24"/>
              </w:rPr>
              <w:t>Гипокалиемия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3F2A4C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17.9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46666D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1.9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D41BA5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355DAF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57ED1F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30A357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</w:tr>
      <w:tr w:rsidR="00B64569" w:rsidRPr="00DD3394" w14:paraId="5A8FD8AE" w14:textId="77777777" w:rsidTr="00B64569">
        <w:trPr>
          <w:trHeight w:val="290"/>
        </w:trPr>
        <w:tc>
          <w:tcPr>
            <w:tcW w:w="26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EF36E3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hAnsi="Times New Roman"/>
                <w:sz w:val="24"/>
                <w:szCs w:val="24"/>
              </w:rPr>
              <w:t>Гипофосфатемия</w:t>
            </w:r>
            <w:r w:rsidRPr="00C81FDE">
              <w:rPr>
                <w:rFonts w:ascii="Times New Roman" w:hAnsi="Times New Roman"/>
                <w:sz w:val="24"/>
                <w:szCs w:val="24"/>
                <w:lang w:val="en-GB"/>
              </w:rPr>
              <w:t>**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98286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19.3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B12346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12.6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A3110B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D199F4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0C0001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690273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</w:tr>
      <w:tr w:rsidR="00B64569" w:rsidRPr="00DD3394" w14:paraId="393042B3" w14:textId="77777777" w:rsidTr="00B64569">
        <w:trPr>
          <w:trHeight w:val="281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826C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</w:rPr>
              <w:t>Гепатобилиарные нарушения</w:t>
            </w:r>
          </w:p>
        </w:tc>
      </w:tr>
      <w:tr w:rsidR="00B64569" w:rsidRPr="00DD3394" w14:paraId="42C77E62" w14:textId="77777777" w:rsidTr="00B64569">
        <w:trPr>
          <w:trHeight w:val="328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A239" w14:textId="77777777" w:rsidR="00B64569" w:rsidRPr="00C81FDE" w:rsidDel="00072184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</w:rPr>
              <w:t>Повышения билирубина</w:t>
            </w: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2C57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D1F5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815D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B310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4455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2A5A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</w:tr>
      <w:tr w:rsidR="00B64569" w:rsidRPr="00DD3394" w14:paraId="3E410338" w14:textId="77777777" w:rsidTr="00B64569">
        <w:trPr>
          <w:trHeight w:val="281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5E93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</w:rPr>
              <w:t>Повышения АЛТ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1999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58.9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E783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59C5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917E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24.4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47B7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397B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</w:tr>
      <w:tr w:rsidR="00B64569" w:rsidRPr="00DD3394" w14:paraId="03FD7E56" w14:textId="77777777" w:rsidTr="00B64569">
        <w:trPr>
          <w:trHeight w:val="281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4585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</w:rPr>
              <w:t>Повышения АСТ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F8C7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53.6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EA2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2325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EF4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14.8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B613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A98F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</w:tr>
      <w:tr w:rsidR="00B64569" w:rsidRPr="00DD3394" w14:paraId="0ABFE545" w14:textId="77777777" w:rsidTr="00B64569">
        <w:trPr>
          <w:trHeight w:val="30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633D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</w:rPr>
              <w:t>Исследования</w:t>
            </w:r>
          </w:p>
        </w:tc>
      </w:tr>
      <w:tr w:rsidR="00B64569" w:rsidRPr="00DD3394" w14:paraId="20AD9ACA" w14:textId="77777777" w:rsidTr="00B64569">
        <w:trPr>
          <w:trHeight w:val="281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2DD4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</w:rPr>
              <w:t>Повышение амилазы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0CD5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12.6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3A18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814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4D8B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A504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43EC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1.0</w:t>
            </w:r>
          </w:p>
        </w:tc>
      </w:tr>
      <w:tr w:rsidR="00B64569" w:rsidRPr="00DD3394" w14:paraId="62E3E181" w14:textId="77777777" w:rsidTr="00B64569">
        <w:trPr>
          <w:trHeight w:val="281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FA25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</w:rPr>
              <w:t>Повышение липазы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137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11.1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C14D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9B43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2F94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4398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D764" w14:textId="77777777" w:rsidR="00B64569" w:rsidRPr="00C81FDE" w:rsidRDefault="00B64569" w:rsidP="00B645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val="en-GB"/>
              </w:rPr>
            </w:pPr>
            <w:r w:rsidRPr="00C81FDE">
              <w:rPr>
                <w:rFonts w:ascii="Times New Roman" w:eastAsia="Batang" w:hAnsi="Times New Roman"/>
                <w:sz w:val="24"/>
                <w:szCs w:val="24"/>
                <w:lang w:val="en-GB"/>
              </w:rPr>
              <w:t>0</w:t>
            </w:r>
          </w:p>
        </w:tc>
      </w:tr>
    </w:tbl>
    <w:p w14:paraId="5B4F0B52" w14:textId="77777777" w:rsidR="00DD3B28" w:rsidRPr="00DD3B28" w:rsidRDefault="00DD3B28" w:rsidP="00DD3B28">
      <w:pPr>
        <w:spacing w:after="0" w:line="240" w:lineRule="auto"/>
        <w:jc w:val="both"/>
        <w:rPr>
          <w:rFonts w:ascii="Times New Roman" w:hAnsi="Times New Roman"/>
        </w:rPr>
      </w:pPr>
      <w:r w:rsidRPr="00DD3B28">
        <w:rPr>
          <w:rFonts w:ascii="Times New Roman" w:hAnsi="Times New Roman"/>
        </w:rPr>
        <w:t>* Общие терминологические критерии для неблагоприятных событий (CTCAE), версия 3.0</w:t>
      </w:r>
    </w:p>
    <w:p w14:paraId="0272337E" w14:textId="77777777" w:rsidR="00DD3B28" w:rsidRPr="00DD3B28" w:rsidRDefault="00DD3B28" w:rsidP="00DD3B28">
      <w:pPr>
        <w:spacing w:after="0" w:line="240" w:lineRule="auto"/>
        <w:jc w:val="both"/>
        <w:rPr>
          <w:rFonts w:ascii="Times New Roman" w:hAnsi="Times New Roman"/>
        </w:rPr>
      </w:pPr>
      <w:r w:rsidRPr="00DD3B28">
        <w:rPr>
          <w:rFonts w:ascii="Times New Roman" w:hAnsi="Times New Roman"/>
        </w:rPr>
        <w:t>** Этиология гипофосфатемии, ассоциированной с сорафенибом, неизвестна.</w:t>
      </w:r>
    </w:p>
    <w:p w14:paraId="722E0F0F" w14:textId="77777777" w:rsidR="00B64569" w:rsidRPr="008C2E13" w:rsidRDefault="00B64569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04ABAF" w14:textId="77777777" w:rsidR="00814DFC" w:rsidRPr="008C2E13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2E13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0A3B4573" w14:textId="77777777" w:rsidR="004528E1" w:rsidRPr="008C2E13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E13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8C2E13">
        <w:rPr>
          <w:rFonts w:ascii="Times New Roman" w:hAnsi="Times New Roman"/>
          <w:sz w:val="24"/>
          <w:szCs w:val="24"/>
        </w:rPr>
        <w:t>ЛП</w:t>
      </w:r>
      <w:r w:rsidRPr="008C2E13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8C2E13">
        <w:rPr>
          <w:rFonts w:ascii="Times New Roman" w:hAnsi="Times New Roman"/>
          <w:sz w:val="24"/>
          <w:szCs w:val="24"/>
        </w:rPr>
        <w:t>ЛП</w:t>
      </w:r>
      <w:r w:rsidRPr="008C2E13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8C2E13">
        <w:rPr>
          <w:rFonts w:ascii="Times New Roman" w:hAnsi="Times New Roman"/>
          <w:sz w:val="24"/>
          <w:szCs w:val="24"/>
        </w:rPr>
        <w:t>ЛП</w:t>
      </w:r>
      <w:r w:rsidRPr="008C2E13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8C2E13">
        <w:rPr>
          <w:rFonts w:ascii="Times New Roman" w:hAnsi="Times New Roman"/>
          <w:sz w:val="24"/>
          <w:szCs w:val="24"/>
        </w:rPr>
        <w:t xml:space="preserve"> </w:t>
      </w:r>
    </w:p>
    <w:p w14:paraId="1EE3FD68" w14:textId="77777777" w:rsidR="004528E1" w:rsidRPr="008C2E13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E13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</w:t>
      </w:r>
      <w:r w:rsidR="00416507" w:rsidRPr="008C2E13">
        <w:rPr>
          <w:rFonts w:ascii="Times New Roman" w:hAnsi="Times New Roman"/>
          <w:sz w:val="24"/>
          <w:szCs w:val="24"/>
        </w:rPr>
        <w:t xml:space="preserve"> средств и медицинских изделий» </w:t>
      </w:r>
      <w:r w:rsidR="00DD3B28">
        <w:rPr>
          <w:rFonts w:ascii="Times New Roman" w:hAnsi="Times New Roman"/>
          <w:sz w:val="24"/>
          <w:szCs w:val="24"/>
        </w:rPr>
        <w:t>Комитет медицинского и фармацевтического контроля</w:t>
      </w:r>
    </w:p>
    <w:p w14:paraId="2B7D5433" w14:textId="77777777" w:rsidR="00814DFC" w:rsidRPr="008C2E13" w:rsidRDefault="005C182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8C2E13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8C2E13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8C2E13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8C2E13">
          <w:rPr>
            <w:rStyle w:val="af"/>
            <w:rFonts w:ascii="Times New Roman" w:hAnsi="Times New Roman"/>
            <w:sz w:val="24"/>
            <w:szCs w:val="24"/>
          </w:rPr>
          <w:t>.</w:t>
        </w:r>
        <w:r w:rsidR="004528E1" w:rsidRPr="008C2E13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r w:rsidR="004528E1" w:rsidRPr="008C2E13">
          <w:rPr>
            <w:rStyle w:val="af"/>
            <w:rFonts w:ascii="Times New Roman" w:hAnsi="Times New Roman"/>
            <w:sz w:val="24"/>
            <w:szCs w:val="24"/>
          </w:rPr>
          <w:t>.</w:t>
        </w:r>
        <w:r w:rsidR="004528E1" w:rsidRPr="008C2E13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02140511" w14:textId="77777777" w:rsidR="009D67EC" w:rsidRPr="008C2E13" w:rsidRDefault="009D67EC" w:rsidP="0078568D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131D2A" w14:textId="77777777" w:rsidR="00123DB5" w:rsidRPr="008C2E13" w:rsidRDefault="00123DB5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5952B2BE" w14:textId="77777777" w:rsidR="00127BDA" w:rsidRDefault="00127BDA" w:rsidP="00127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3" w:name="_Hlk38289463"/>
      <w:r w:rsidRPr="00134136">
        <w:rPr>
          <w:rFonts w:ascii="Times New Roman" w:hAnsi="Times New Roman"/>
          <w:color w:val="000000"/>
          <w:sz w:val="24"/>
          <w:szCs w:val="24"/>
        </w:rPr>
        <w:lastRenderedPageBreak/>
        <w:t xml:space="preserve">Специфического </w:t>
      </w:r>
      <w:r>
        <w:rPr>
          <w:rFonts w:ascii="Times New Roman" w:hAnsi="Times New Roman"/>
          <w:color w:val="000000"/>
          <w:sz w:val="24"/>
          <w:szCs w:val="24"/>
        </w:rPr>
        <w:t>антидота при</w:t>
      </w:r>
      <w:r w:rsidRPr="00134136">
        <w:rPr>
          <w:rFonts w:ascii="Times New Roman" w:hAnsi="Times New Roman"/>
          <w:color w:val="000000"/>
          <w:sz w:val="24"/>
          <w:szCs w:val="24"/>
        </w:rPr>
        <w:t xml:space="preserve"> передозировк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134136">
        <w:rPr>
          <w:rFonts w:ascii="Times New Roman" w:hAnsi="Times New Roman"/>
          <w:color w:val="000000"/>
          <w:sz w:val="24"/>
          <w:szCs w:val="24"/>
        </w:rPr>
        <w:t xml:space="preserve"> сорафенибом не существует. Самая </w:t>
      </w:r>
      <w:r>
        <w:rPr>
          <w:rFonts w:ascii="Times New Roman" w:hAnsi="Times New Roman"/>
          <w:color w:val="000000"/>
          <w:sz w:val="24"/>
          <w:szCs w:val="24"/>
        </w:rPr>
        <w:t>максимальная,</w:t>
      </w:r>
      <w:r w:rsidRPr="0013413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клинически изученная доза </w:t>
      </w:r>
      <w:r w:rsidRPr="00134136">
        <w:rPr>
          <w:rFonts w:ascii="Times New Roman" w:hAnsi="Times New Roman"/>
          <w:color w:val="000000"/>
          <w:sz w:val="24"/>
          <w:szCs w:val="24"/>
        </w:rPr>
        <w:t>сорафениба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4136">
        <w:rPr>
          <w:rFonts w:ascii="Times New Roman" w:hAnsi="Times New Roman"/>
          <w:color w:val="000000"/>
          <w:sz w:val="24"/>
          <w:szCs w:val="24"/>
        </w:rPr>
        <w:t>составляет 800 мг два раза в день. Побочные явления, наблюдаемые при применении этой доз</w:t>
      </w:r>
      <w:r>
        <w:rPr>
          <w:rFonts w:ascii="Times New Roman" w:hAnsi="Times New Roman"/>
          <w:color w:val="000000"/>
          <w:sz w:val="24"/>
          <w:szCs w:val="24"/>
        </w:rPr>
        <w:t>ировки</w:t>
      </w:r>
      <w:r w:rsidRPr="00134136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сопровождались</w:t>
      </w:r>
      <w:r w:rsidRPr="00DD339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основном </w:t>
      </w:r>
      <w:r w:rsidRPr="00DD3394">
        <w:rPr>
          <w:rFonts w:ascii="Times New Roman" w:hAnsi="Times New Roman"/>
          <w:color w:val="000000"/>
          <w:sz w:val="24"/>
          <w:szCs w:val="24"/>
        </w:rPr>
        <w:t xml:space="preserve">диареей и дерматологическими </w:t>
      </w:r>
      <w:r>
        <w:rPr>
          <w:rFonts w:ascii="Times New Roman" w:hAnsi="Times New Roman"/>
          <w:color w:val="000000"/>
          <w:sz w:val="24"/>
          <w:szCs w:val="24"/>
        </w:rPr>
        <w:t>событиями</w:t>
      </w:r>
      <w:r w:rsidRPr="00DD3394">
        <w:rPr>
          <w:rFonts w:ascii="Times New Roman" w:hAnsi="Times New Roman"/>
          <w:color w:val="000000"/>
          <w:sz w:val="24"/>
          <w:szCs w:val="24"/>
        </w:rPr>
        <w:t>. В случае подозрения на передозировку</w:t>
      </w:r>
      <w:r>
        <w:rPr>
          <w:rFonts w:ascii="Times New Roman" w:hAnsi="Times New Roman"/>
          <w:color w:val="000000"/>
          <w:sz w:val="24"/>
          <w:szCs w:val="24"/>
        </w:rPr>
        <w:t>, прием</w:t>
      </w:r>
      <w:r w:rsidRPr="00DD3394">
        <w:rPr>
          <w:rFonts w:ascii="Times New Roman" w:hAnsi="Times New Roman"/>
          <w:color w:val="000000"/>
          <w:sz w:val="24"/>
          <w:szCs w:val="24"/>
        </w:rPr>
        <w:t xml:space="preserve"> сорафениб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DD3394">
        <w:rPr>
          <w:rFonts w:ascii="Times New Roman" w:hAnsi="Times New Roman"/>
          <w:color w:val="000000"/>
          <w:sz w:val="24"/>
          <w:szCs w:val="24"/>
        </w:rPr>
        <w:t xml:space="preserve"> следует </w:t>
      </w:r>
      <w:r>
        <w:rPr>
          <w:rFonts w:ascii="Times New Roman" w:hAnsi="Times New Roman"/>
          <w:color w:val="000000"/>
          <w:sz w:val="24"/>
          <w:szCs w:val="24"/>
        </w:rPr>
        <w:t>прекратить</w:t>
      </w:r>
      <w:r w:rsidRPr="00DD3394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AA67AA">
        <w:rPr>
          <w:rFonts w:ascii="Times New Roman" w:hAnsi="Times New Roman"/>
          <w:color w:val="000000"/>
          <w:sz w:val="24"/>
          <w:szCs w:val="24"/>
        </w:rPr>
        <w:t>,</w:t>
      </w:r>
      <w:r w:rsidRPr="00DD3394">
        <w:rPr>
          <w:rFonts w:ascii="Times New Roman" w:hAnsi="Times New Roman"/>
          <w:color w:val="000000"/>
          <w:sz w:val="24"/>
          <w:szCs w:val="24"/>
        </w:rPr>
        <w:t xml:space="preserve"> при необходимости</w:t>
      </w:r>
      <w:r w:rsidR="00AA67AA">
        <w:rPr>
          <w:rFonts w:ascii="Times New Roman" w:hAnsi="Times New Roman"/>
          <w:color w:val="000000"/>
          <w:sz w:val="24"/>
          <w:szCs w:val="24"/>
        </w:rPr>
        <w:t>,</w:t>
      </w:r>
      <w:r w:rsidRPr="00DD3394">
        <w:rPr>
          <w:rFonts w:ascii="Times New Roman" w:hAnsi="Times New Roman"/>
          <w:color w:val="000000"/>
          <w:sz w:val="24"/>
          <w:szCs w:val="24"/>
        </w:rPr>
        <w:t xml:space="preserve"> назначить поддерживающую терапию</w:t>
      </w:r>
      <w:bookmarkEnd w:id="23"/>
      <w:r w:rsidRPr="00DD3394">
        <w:rPr>
          <w:rFonts w:ascii="Times New Roman" w:hAnsi="Times New Roman"/>
          <w:color w:val="000000"/>
          <w:sz w:val="24"/>
          <w:szCs w:val="24"/>
        </w:rPr>
        <w:t>.</w:t>
      </w:r>
    </w:p>
    <w:p w14:paraId="54A015BD" w14:textId="77777777" w:rsidR="00127BDA" w:rsidRPr="00DD3394" w:rsidRDefault="00127BDA" w:rsidP="00127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6ED106" w14:textId="77777777" w:rsidR="00C153F2" w:rsidRPr="008C2E13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C2E13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8C2E13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62559317" w14:textId="77777777" w:rsidR="00C153F2" w:rsidRPr="008C2E13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C2E13">
        <w:rPr>
          <w:rFonts w:ascii="Times New Roman" w:hAnsi="Times New Roman"/>
          <w:b/>
          <w:sz w:val="24"/>
          <w:szCs w:val="24"/>
          <w:lang w:eastAsia="ru-RU"/>
        </w:rPr>
        <w:t xml:space="preserve">5.1. </w:t>
      </w:r>
      <w:r w:rsidRPr="008C2E13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07F8D73D" w14:textId="77777777" w:rsidR="00957BAF" w:rsidRPr="00A075B1" w:rsidRDefault="00C153F2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253FB5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Фармакотерапевтическая группа:</w:t>
      </w:r>
      <w:r w:rsidRPr="00A075B1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="00A075B1" w:rsidRPr="00A075B1">
        <w:rPr>
          <w:rFonts w:ascii="Times New Roman" w:eastAsia="TimesNewRomanPSMT" w:hAnsi="Times New Roman"/>
          <w:sz w:val="24"/>
          <w:szCs w:val="24"/>
          <w:lang w:eastAsia="ru-RU"/>
        </w:rPr>
        <w:t>Антинеопластические препараты. Антинеопластические препараты другие. Протеинкиназы ингибиторы. Сорафениб.</w:t>
      </w:r>
    </w:p>
    <w:p w14:paraId="7065F8A1" w14:textId="77777777" w:rsidR="00C153F2" w:rsidRPr="008C2E13" w:rsidRDefault="00957BAF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5B1">
        <w:rPr>
          <w:rFonts w:ascii="Times New Roman" w:eastAsia="TimesNewRomanPSMT" w:hAnsi="Times New Roman"/>
          <w:sz w:val="24"/>
          <w:szCs w:val="24"/>
          <w:lang w:eastAsia="ru-RU"/>
        </w:rPr>
        <w:t>Код ATХ</w:t>
      </w:r>
      <w:r w:rsidR="00A075B1" w:rsidRPr="00A075B1">
        <w:rPr>
          <w:rFonts w:ascii="Times New Roman" w:eastAsia="TimesNewRomanPSMT" w:hAnsi="Times New Roman"/>
          <w:sz w:val="24"/>
          <w:szCs w:val="24"/>
          <w:lang w:eastAsia="ru-RU"/>
        </w:rPr>
        <w:t xml:space="preserve"> L01XE05</w:t>
      </w:r>
    </w:p>
    <w:p w14:paraId="13001E8B" w14:textId="77777777" w:rsidR="00C153F2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8C2E13">
        <w:rPr>
          <w:rFonts w:ascii="Times New Roman" w:hAnsi="Times New Roman"/>
          <w:i/>
          <w:iCs/>
          <w:sz w:val="24"/>
          <w:szCs w:val="24"/>
          <w:lang w:eastAsia="ru-RU"/>
        </w:rPr>
        <w:t>Механизм действия</w:t>
      </w:r>
      <w:r w:rsidR="00986783" w:rsidRPr="008C2E13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BF287D">
        <w:rPr>
          <w:rFonts w:ascii="Times New Roman" w:hAnsi="Times New Roman"/>
          <w:i/>
          <w:sz w:val="24"/>
          <w:szCs w:val="24"/>
          <w:lang w:bidi="ru-RU"/>
        </w:rPr>
        <w:t>и ф</w:t>
      </w:r>
      <w:r w:rsidR="00986783" w:rsidRPr="008C2E13">
        <w:rPr>
          <w:rFonts w:ascii="Times New Roman" w:hAnsi="Times New Roman"/>
          <w:i/>
          <w:iCs/>
          <w:sz w:val="24"/>
          <w:szCs w:val="24"/>
          <w:lang w:eastAsia="ru-RU"/>
        </w:rPr>
        <w:t>армакодинамические эффекты</w:t>
      </w:r>
    </w:p>
    <w:p w14:paraId="06A07D43" w14:textId="77777777" w:rsidR="00BF287D" w:rsidRPr="00BF287D" w:rsidRDefault="00BF287D" w:rsidP="00BF2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F287D">
        <w:rPr>
          <w:rFonts w:ascii="Times New Roman" w:hAnsi="Times New Roman"/>
          <w:sz w:val="24"/>
          <w:szCs w:val="24"/>
          <w:lang w:bidi="ru-RU"/>
        </w:rPr>
        <w:t xml:space="preserve">Сорафениб — это мультикиназный ингибитор, который продемонстрировал как антипролиферативные, так и антиангиогенные свойства </w:t>
      </w:r>
      <w:r w:rsidRPr="00BF287D">
        <w:rPr>
          <w:rFonts w:ascii="Times New Roman" w:hAnsi="Times New Roman"/>
          <w:i/>
          <w:iCs/>
          <w:sz w:val="24"/>
          <w:szCs w:val="24"/>
          <w:lang w:bidi="ru-RU"/>
        </w:rPr>
        <w:t>in vitro</w:t>
      </w:r>
      <w:r w:rsidRPr="00BF287D">
        <w:rPr>
          <w:rFonts w:ascii="Times New Roman" w:hAnsi="Times New Roman"/>
          <w:sz w:val="24"/>
          <w:szCs w:val="24"/>
          <w:lang w:bidi="ru-RU"/>
        </w:rPr>
        <w:t xml:space="preserve"> и </w:t>
      </w:r>
      <w:r w:rsidRPr="00BF287D">
        <w:rPr>
          <w:rFonts w:ascii="Times New Roman" w:hAnsi="Times New Roman"/>
          <w:i/>
          <w:iCs/>
          <w:sz w:val="24"/>
          <w:szCs w:val="24"/>
          <w:lang w:bidi="ru-RU"/>
        </w:rPr>
        <w:t>in vivo</w:t>
      </w:r>
      <w:r>
        <w:rPr>
          <w:rFonts w:ascii="Times New Roman" w:hAnsi="Times New Roman"/>
          <w:sz w:val="24"/>
          <w:szCs w:val="24"/>
          <w:lang w:bidi="ru-RU"/>
        </w:rPr>
        <w:t xml:space="preserve">, а также </w:t>
      </w:r>
      <w:r w:rsidRPr="00BF287D">
        <w:rPr>
          <w:rFonts w:ascii="Times New Roman" w:hAnsi="Times New Roman"/>
          <w:sz w:val="24"/>
          <w:szCs w:val="24"/>
          <w:lang w:bidi="ru-RU"/>
        </w:rPr>
        <w:t xml:space="preserve">уменьшает пролиферацию опухолевых клеток </w:t>
      </w:r>
      <w:r w:rsidRPr="00BF287D">
        <w:rPr>
          <w:rFonts w:ascii="Times New Roman" w:hAnsi="Times New Roman"/>
          <w:i/>
          <w:iCs/>
          <w:sz w:val="24"/>
          <w:szCs w:val="24"/>
          <w:lang w:bidi="ru-RU"/>
        </w:rPr>
        <w:t>in vitro</w:t>
      </w:r>
      <w:r w:rsidRPr="00BF287D">
        <w:rPr>
          <w:rFonts w:ascii="Times New Roman" w:hAnsi="Times New Roman"/>
          <w:sz w:val="24"/>
          <w:szCs w:val="24"/>
          <w:lang w:bidi="ru-RU"/>
        </w:rPr>
        <w:t>. Сорафениб ингибирует опухолевый рост широкого спектра опухолевых ксенотрансплантатов человека у бестимусных мышей, сопровождающийся снижением ангиогенеза опухоли. Сорафениб ингибирует активность мишеней, присутствующих в опухолевой клетке (CRAF, BRAF, V600E BRAF, c-KIT и FLT-3) и в сосудистой системе опухоли (CRAF, VEGFR-2, VEGFR-3 и PDGFR-β). РАФ-киназы — это сериновые/треониновые киназы, в то время как с-K</w:t>
      </w:r>
      <w:r>
        <w:rPr>
          <w:rFonts w:ascii="Times New Roman" w:hAnsi="Times New Roman"/>
          <w:sz w:val="24"/>
          <w:szCs w:val="24"/>
          <w:lang w:val="en-US" w:bidi="ru-RU"/>
        </w:rPr>
        <w:t>IT</w:t>
      </w:r>
      <w:r w:rsidRPr="00BF287D">
        <w:rPr>
          <w:rFonts w:ascii="Times New Roman" w:hAnsi="Times New Roman"/>
          <w:sz w:val="24"/>
          <w:szCs w:val="24"/>
          <w:lang w:bidi="ru-RU"/>
        </w:rPr>
        <w:t>, FLT-3, VEGFR-2, VEGFR-3 и PDGFR-β являются рецепторными тирозинкиназами.</w:t>
      </w:r>
    </w:p>
    <w:p w14:paraId="55F220BF" w14:textId="77777777" w:rsidR="00C153F2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8C2E13">
        <w:rPr>
          <w:rFonts w:ascii="Times New Roman" w:hAnsi="Times New Roman"/>
          <w:i/>
          <w:iCs/>
          <w:sz w:val="24"/>
          <w:szCs w:val="24"/>
          <w:lang w:eastAsia="ru-RU"/>
        </w:rPr>
        <w:t>Клиническ</w:t>
      </w:r>
      <w:r w:rsidR="00986783" w:rsidRPr="008C2E13">
        <w:rPr>
          <w:rFonts w:ascii="Times New Roman" w:hAnsi="Times New Roman"/>
          <w:i/>
          <w:iCs/>
          <w:sz w:val="24"/>
          <w:szCs w:val="24"/>
          <w:lang w:eastAsia="ru-RU"/>
        </w:rPr>
        <w:t>ая эффективность и безопасность</w:t>
      </w:r>
    </w:p>
    <w:p w14:paraId="44DF1C13" w14:textId="77777777" w:rsidR="00646B62" w:rsidRDefault="00646B62" w:rsidP="00646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D3394">
        <w:rPr>
          <w:rFonts w:ascii="Times New Roman" w:hAnsi="Times New Roman"/>
          <w:color w:val="000000"/>
          <w:sz w:val="24"/>
          <w:szCs w:val="24"/>
        </w:rPr>
        <w:t>Клиническая эффективность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DD3394">
        <w:rPr>
          <w:rFonts w:ascii="Times New Roman" w:hAnsi="Times New Roman"/>
          <w:color w:val="000000"/>
          <w:sz w:val="24"/>
          <w:szCs w:val="24"/>
        </w:rPr>
        <w:t xml:space="preserve">безопасность сорафениба </w:t>
      </w:r>
      <w:r>
        <w:rPr>
          <w:rFonts w:ascii="Times New Roman" w:hAnsi="Times New Roman"/>
          <w:color w:val="000000"/>
          <w:sz w:val="24"/>
          <w:szCs w:val="24"/>
        </w:rPr>
        <w:t>изучались</w:t>
      </w:r>
      <w:r w:rsidRPr="00DD3394">
        <w:rPr>
          <w:rFonts w:ascii="Times New Roman" w:hAnsi="Times New Roman"/>
          <w:color w:val="000000"/>
          <w:sz w:val="24"/>
          <w:szCs w:val="24"/>
        </w:rPr>
        <w:t xml:space="preserve"> у пациентов с гепатоцеллюлярной карциномой (ГЦК), у пациентов с прогрессирующ</w:t>
      </w:r>
      <w:r>
        <w:rPr>
          <w:rFonts w:ascii="Times New Roman" w:hAnsi="Times New Roman"/>
          <w:color w:val="000000"/>
          <w:sz w:val="24"/>
          <w:szCs w:val="24"/>
        </w:rPr>
        <w:t xml:space="preserve">им </w:t>
      </w:r>
      <w:r w:rsidRPr="00DD3394">
        <w:rPr>
          <w:rFonts w:ascii="Times New Roman" w:hAnsi="Times New Roman"/>
          <w:color w:val="000000"/>
          <w:sz w:val="24"/>
          <w:szCs w:val="24"/>
        </w:rPr>
        <w:t>почечно-клеточн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 w:rsidRPr="00DD339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раком</w:t>
      </w:r>
      <w:r w:rsidRPr="00DD3394">
        <w:rPr>
          <w:rFonts w:ascii="Times New Roman" w:hAnsi="Times New Roman"/>
          <w:color w:val="000000"/>
          <w:sz w:val="24"/>
          <w:szCs w:val="24"/>
        </w:rPr>
        <w:t xml:space="preserve"> (ПК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 w:rsidRPr="00DD3394">
        <w:rPr>
          <w:rFonts w:ascii="Times New Roman" w:hAnsi="Times New Roman"/>
          <w:color w:val="000000"/>
          <w:sz w:val="24"/>
          <w:szCs w:val="24"/>
        </w:rPr>
        <w:t>) и у пациентов с дифференцированным раком щитовидной железы.</w:t>
      </w:r>
    </w:p>
    <w:p w14:paraId="3E44D2D4" w14:textId="77777777" w:rsidR="00136EE1" w:rsidRPr="00136EE1" w:rsidRDefault="00136EE1" w:rsidP="0013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36EE1">
        <w:rPr>
          <w:rFonts w:ascii="Times New Roman" w:hAnsi="Times New Roman"/>
          <w:i/>
          <w:iCs/>
          <w:sz w:val="24"/>
          <w:szCs w:val="24"/>
          <w:lang w:eastAsia="ru-RU"/>
        </w:rPr>
        <w:t>Гепатоцеллюлярная карцинома</w:t>
      </w:r>
    </w:p>
    <w:p w14:paraId="7158E541" w14:textId="77777777" w:rsidR="00136EE1" w:rsidRPr="00136EE1" w:rsidRDefault="00136EE1" w:rsidP="0013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36EE1">
        <w:rPr>
          <w:rFonts w:ascii="Times New Roman" w:hAnsi="Times New Roman"/>
          <w:iCs/>
          <w:sz w:val="24"/>
          <w:szCs w:val="24"/>
          <w:lang w:eastAsia="ru-RU"/>
        </w:rPr>
        <w:t xml:space="preserve">Исследование 3 (исследование 100554) </w:t>
      </w:r>
      <w:r w:rsidR="004318D8">
        <w:rPr>
          <w:rFonts w:ascii="Times New Roman" w:hAnsi="Times New Roman"/>
          <w:iCs/>
          <w:sz w:val="24"/>
          <w:szCs w:val="24"/>
          <w:lang w:eastAsia="ru-RU"/>
        </w:rPr>
        <w:t>носило</w:t>
      </w:r>
      <w:r w:rsidRPr="00136EE1">
        <w:rPr>
          <w:rFonts w:ascii="Times New Roman" w:hAnsi="Times New Roman"/>
          <w:iCs/>
          <w:sz w:val="24"/>
          <w:szCs w:val="24"/>
          <w:lang w:eastAsia="ru-RU"/>
        </w:rPr>
        <w:t xml:space="preserve"> международны</w:t>
      </w:r>
      <w:r w:rsidR="004318D8">
        <w:rPr>
          <w:rFonts w:ascii="Times New Roman" w:hAnsi="Times New Roman"/>
          <w:iCs/>
          <w:sz w:val="24"/>
          <w:szCs w:val="24"/>
          <w:lang w:eastAsia="ru-RU"/>
        </w:rPr>
        <w:t>й</w:t>
      </w:r>
      <w:r w:rsidRPr="00136EE1">
        <w:rPr>
          <w:rFonts w:ascii="Times New Roman" w:hAnsi="Times New Roman"/>
          <w:iCs/>
          <w:sz w:val="24"/>
          <w:szCs w:val="24"/>
          <w:lang w:eastAsia="ru-RU"/>
        </w:rPr>
        <w:t xml:space="preserve"> многоцентров</w:t>
      </w:r>
      <w:r w:rsidR="004318D8">
        <w:rPr>
          <w:rFonts w:ascii="Times New Roman" w:hAnsi="Times New Roman"/>
          <w:iCs/>
          <w:sz w:val="24"/>
          <w:szCs w:val="24"/>
          <w:lang w:eastAsia="ru-RU"/>
        </w:rPr>
        <w:t>ой</w:t>
      </w:r>
      <w:r w:rsidRPr="00136EE1">
        <w:rPr>
          <w:rFonts w:ascii="Times New Roman" w:hAnsi="Times New Roman"/>
          <w:iCs/>
          <w:sz w:val="24"/>
          <w:szCs w:val="24"/>
          <w:lang w:eastAsia="ru-RU"/>
        </w:rPr>
        <w:t xml:space="preserve"> рандомизированны</w:t>
      </w:r>
      <w:r w:rsidR="004318D8">
        <w:rPr>
          <w:rFonts w:ascii="Times New Roman" w:hAnsi="Times New Roman"/>
          <w:iCs/>
          <w:sz w:val="24"/>
          <w:szCs w:val="24"/>
          <w:lang w:eastAsia="ru-RU"/>
        </w:rPr>
        <w:t>й</w:t>
      </w:r>
      <w:r w:rsidRPr="00136EE1">
        <w:rPr>
          <w:rFonts w:ascii="Times New Roman" w:hAnsi="Times New Roman"/>
          <w:iCs/>
          <w:sz w:val="24"/>
          <w:szCs w:val="24"/>
          <w:lang w:eastAsia="ru-RU"/>
        </w:rPr>
        <w:t xml:space="preserve"> двойн</w:t>
      </w:r>
      <w:r w:rsidR="004318D8">
        <w:rPr>
          <w:rFonts w:ascii="Times New Roman" w:hAnsi="Times New Roman"/>
          <w:iCs/>
          <w:sz w:val="24"/>
          <w:szCs w:val="24"/>
          <w:lang w:eastAsia="ru-RU"/>
        </w:rPr>
        <w:t>ой</w:t>
      </w:r>
      <w:r w:rsidRPr="00136EE1">
        <w:rPr>
          <w:rFonts w:ascii="Times New Roman" w:hAnsi="Times New Roman"/>
          <w:iCs/>
          <w:sz w:val="24"/>
          <w:szCs w:val="24"/>
          <w:lang w:eastAsia="ru-RU"/>
        </w:rPr>
        <w:t xml:space="preserve"> слеп</w:t>
      </w:r>
      <w:r w:rsidR="004318D8">
        <w:rPr>
          <w:rFonts w:ascii="Times New Roman" w:hAnsi="Times New Roman"/>
          <w:iCs/>
          <w:sz w:val="24"/>
          <w:szCs w:val="24"/>
          <w:lang w:eastAsia="ru-RU"/>
        </w:rPr>
        <w:t xml:space="preserve">ой </w:t>
      </w:r>
      <w:r w:rsidRPr="00136EE1">
        <w:rPr>
          <w:rFonts w:ascii="Times New Roman" w:hAnsi="Times New Roman"/>
          <w:iCs/>
          <w:sz w:val="24"/>
          <w:szCs w:val="24"/>
          <w:lang w:eastAsia="ru-RU"/>
        </w:rPr>
        <w:t>плацебо-контролируем</w:t>
      </w:r>
      <w:r w:rsidR="004318D8">
        <w:rPr>
          <w:rFonts w:ascii="Times New Roman" w:hAnsi="Times New Roman"/>
          <w:iCs/>
          <w:sz w:val="24"/>
          <w:szCs w:val="24"/>
          <w:lang w:eastAsia="ru-RU"/>
        </w:rPr>
        <w:t>ый характер</w:t>
      </w:r>
      <w:r w:rsidRPr="00136EE1">
        <w:rPr>
          <w:rFonts w:ascii="Times New Roman" w:hAnsi="Times New Roman"/>
          <w:iCs/>
          <w:sz w:val="24"/>
          <w:szCs w:val="24"/>
          <w:lang w:eastAsia="ru-RU"/>
        </w:rPr>
        <w:t xml:space="preserve"> III фазы у 602 пациентов с гепатоцеллюлярной карциномой. Демографические и исходные характеристики заболевания были  равномерно сбалансированы между группами сорафениба и плацебо в отношении статуса ECOG (статус 0: 54% против 54 %; статус 1: 38% против 39 %; статус 2: 8% против 7 %), стадии TNM (стадия I: &lt;1% против &lt;1 %; стадия II: 10,4% против 8,3 %; стадия III: 37,8% против 43,6 %; стадия IV: 50,8% против 46,9%) и стадии BCLC (стадия B: 18,1% против 16,8 %; стадия C: 81,6% против 83,2 %; стадия D: &lt; 1% против 0 %).</w:t>
      </w:r>
    </w:p>
    <w:p w14:paraId="7A5FF16F" w14:textId="77777777" w:rsidR="00136EE1" w:rsidRPr="00136EE1" w:rsidRDefault="00136EE1" w:rsidP="0013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36EE1">
        <w:rPr>
          <w:rFonts w:ascii="Times New Roman" w:hAnsi="Times New Roman"/>
          <w:iCs/>
          <w:sz w:val="24"/>
          <w:szCs w:val="24"/>
          <w:lang w:eastAsia="ru-RU"/>
        </w:rPr>
        <w:t xml:space="preserve">Исследование было </w:t>
      </w:r>
      <w:r w:rsidR="004318D8">
        <w:rPr>
          <w:rFonts w:ascii="Times New Roman" w:hAnsi="Times New Roman"/>
          <w:iCs/>
          <w:sz w:val="24"/>
          <w:szCs w:val="24"/>
          <w:lang w:eastAsia="ru-RU"/>
        </w:rPr>
        <w:t>приостановлено</w:t>
      </w:r>
      <w:r w:rsidRPr="00136EE1">
        <w:rPr>
          <w:rFonts w:ascii="Times New Roman" w:hAnsi="Times New Roman"/>
          <w:iCs/>
          <w:sz w:val="24"/>
          <w:szCs w:val="24"/>
          <w:lang w:eastAsia="ru-RU"/>
        </w:rPr>
        <w:t xml:space="preserve"> после того, как запланированный промежуточный анализ ОВ пересек заранее заданную границу эффективности. Этот анализ ОВ показал статистически значимое преимущество сорафениба перед плацебо в увеличении ОВ (ОР: 0.69, Р = 0,00058, см. таблицу 3).</w:t>
      </w:r>
    </w:p>
    <w:p w14:paraId="4DBE3538" w14:textId="77777777" w:rsidR="00136EE1" w:rsidRDefault="00136EE1" w:rsidP="00136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36EE1">
        <w:rPr>
          <w:rFonts w:ascii="Times New Roman" w:hAnsi="Times New Roman"/>
          <w:iCs/>
          <w:sz w:val="24"/>
          <w:szCs w:val="24"/>
          <w:lang w:eastAsia="ru-RU"/>
        </w:rPr>
        <w:t xml:space="preserve">Имеются ограниченные данные этого исследования у пациентов с нарушением функции печени </w:t>
      </w:r>
      <w:r w:rsidR="004318D8">
        <w:rPr>
          <w:rFonts w:ascii="Times New Roman" w:hAnsi="Times New Roman"/>
          <w:iCs/>
          <w:sz w:val="24"/>
          <w:szCs w:val="24"/>
          <w:lang w:eastAsia="ru-RU"/>
        </w:rPr>
        <w:t xml:space="preserve">стадии В </w:t>
      </w:r>
      <w:r w:rsidRPr="00136EE1">
        <w:rPr>
          <w:rFonts w:ascii="Times New Roman" w:hAnsi="Times New Roman"/>
          <w:iCs/>
          <w:sz w:val="24"/>
          <w:szCs w:val="24"/>
          <w:lang w:eastAsia="ru-RU"/>
        </w:rPr>
        <w:t xml:space="preserve">по </w:t>
      </w:r>
      <w:r w:rsidR="004318D8">
        <w:rPr>
          <w:rFonts w:ascii="Times New Roman" w:hAnsi="Times New Roman"/>
          <w:iCs/>
          <w:sz w:val="24"/>
          <w:szCs w:val="24"/>
          <w:lang w:eastAsia="ru-RU"/>
        </w:rPr>
        <w:t xml:space="preserve">шкале </w:t>
      </w:r>
      <w:r w:rsidRPr="00136EE1">
        <w:rPr>
          <w:rFonts w:ascii="Times New Roman" w:hAnsi="Times New Roman"/>
          <w:iCs/>
          <w:sz w:val="24"/>
          <w:szCs w:val="24"/>
          <w:lang w:eastAsia="ru-RU"/>
        </w:rPr>
        <w:t>Чайлд</w:t>
      </w:r>
      <w:r w:rsidR="004318D8"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Pr="00136EE1">
        <w:rPr>
          <w:rFonts w:ascii="Times New Roman" w:hAnsi="Times New Roman"/>
          <w:iCs/>
          <w:sz w:val="24"/>
          <w:szCs w:val="24"/>
          <w:lang w:eastAsia="ru-RU"/>
        </w:rPr>
        <w:t xml:space="preserve"> Пью, и только один пациент с нарушением функции печени </w:t>
      </w:r>
      <w:r w:rsidR="004318D8">
        <w:rPr>
          <w:rFonts w:ascii="Times New Roman" w:hAnsi="Times New Roman"/>
          <w:iCs/>
          <w:sz w:val="24"/>
          <w:szCs w:val="24"/>
          <w:lang w:eastAsia="ru-RU"/>
        </w:rPr>
        <w:t xml:space="preserve">на стадии С по шкале </w:t>
      </w:r>
      <w:r w:rsidRPr="00136EE1">
        <w:rPr>
          <w:rFonts w:ascii="Times New Roman" w:hAnsi="Times New Roman"/>
          <w:iCs/>
          <w:sz w:val="24"/>
          <w:szCs w:val="24"/>
          <w:lang w:eastAsia="ru-RU"/>
        </w:rPr>
        <w:t>Чайлд</w:t>
      </w:r>
      <w:r w:rsidR="004318D8"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Pr="00136EE1">
        <w:rPr>
          <w:rFonts w:ascii="Times New Roman" w:hAnsi="Times New Roman"/>
          <w:iCs/>
          <w:sz w:val="24"/>
          <w:szCs w:val="24"/>
          <w:lang w:eastAsia="ru-RU"/>
        </w:rPr>
        <w:t xml:space="preserve"> Пью был включен в исследование.</w:t>
      </w:r>
    </w:p>
    <w:p w14:paraId="150C95F7" w14:textId="77777777" w:rsidR="004318D8" w:rsidRPr="004318D8" w:rsidRDefault="004318D8" w:rsidP="00431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4318D8">
        <w:rPr>
          <w:rFonts w:ascii="Times New Roman" w:hAnsi="Times New Roman"/>
          <w:bCs/>
          <w:iCs/>
          <w:sz w:val="24"/>
          <w:szCs w:val="24"/>
          <w:lang w:eastAsia="ru-RU"/>
        </w:rPr>
        <w:t>Таблица 3: Результаты эффективности исследования 3 (исследование 100554) при гепатоцеллюлярной карциноме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1771"/>
        <w:gridCol w:w="1771"/>
        <w:gridCol w:w="1771"/>
        <w:gridCol w:w="1772"/>
      </w:tblGrid>
      <w:tr w:rsidR="004318D8" w:rsidRPr="004318D8" w14:paraId="4DA4FE85" w14:textId="77777777" w:rsidTr="004318D8">
        <w:trPr>
          <w:cantSplit/>
        </w:trPr>
        <w:tc>
          <w:tcPr>
            <w:tcW w:w="2094" w:type="dxa"/>
          </w:tcPr>
          <w:p w14:paraId="1EE1D86F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Параметры эффективности </w:t>
            </w:r>
          </w:p>
        </w:tc>
        <w:tc>
          <w:tcPr>
            <w:tcW w:w="1771" w:type="dxa"/>
          </w:tcPr>
          <w:p w14:paraId="5938DA89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Сорафениб</w:t>
            </w:r>
          </w:p>
          <w:p w14:paraId="7524AD28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  <w:t>(N=299)</w:t>
            </w:r>
          </w:p>
        </w:tc>
        <w:tc>
          <w:tcPr>
            <w:tcW w:w="1771" w:type="dxa"/>
          </w:tcPr>
          <w:p w14:paraId="1B13CD3F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Плацебо</w:t>
            </w:r>
          </w:p>
          <w:p w14:paraId="61B5AB26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  <w:t>(N=303)</w:t>
            </w:r>
          </w:p>
        </w:tc>
        <w:tc>
          <w:tcPr>
            <w:tcW w:w="1771" w:type="dxa"/>
          </w:tcPr>
          <w:p w14:paraId="1173B2AA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  <w:t>P-</w:t>
            </w:r>
            <w:r w:rsidRPr="004318D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знач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ение</w:t>
            </w:r>
          </w:p>
        </w:tc>
        <w:tc>
          <w:tcPr>
            <w:tcW w:w="1772" w:type="dxa"/>
          </w:tcPr>
          <w:p w14:paraId="1E99DFC7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КР</w:t>
            </w:r>
          </w:p>
          <w:p w14:paraId="102A9BBB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  <w:t xml:space="preserve">(95% </w:t>
            </w:r>
            <w:r w:rsidRPr="004318D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ДИ</w:t>
            </w:r>
            <w:r w:rsidRPr="004318D8"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  <w:t>)</w:t>
            </w:r>
          </w:p>
        </w:tc>
      </w:tr>
      <w:tr w:rsidR="004318D8" w:rsidRPr="004318D8" w14:paraId="7072D14B" w14:textId="77777777" w:rsidTr="004318D8">
        <w:trPr>
          <w:cantSplit/>
        </w:trPr>
        <w:tc>
          <w:tcPr>
            <w:tcW w:w="2094" w:type="dxa"/>
          </w:tcPr>
          <w:p w14:paraId="4DC506E3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Общая выживаемость (</w:t>
            </w:r>
            <w:r w:rsidRPr="004318D8"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  <w:t>O</w:t>
            </w:r>
            <w:r w:rsidRPr="004318D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В) [медиан, недели (95% ДИ)]</w:t>
            </w:r>
          </w:p>
        </w:tc>
        <w:tc>
          <w:tcPr>
            <w:tcW w:w="1771" w:type="dxa"/>
          </w:tcPr>
          <w:p w14:paraId="1AA612C0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  <w:t>46.3</w:t>
            </w:r>
          </w:p>
          <w:p w14:paraId="702A12E2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  <w:t>(40.9, 57.9)</w:t>
            </w:r>
          </w:p>
        </w:tc>
        <w:tc>
          <w:tcPr>
            <w:tcW w:w="1771" w:type="dxa"/>
          </w:tcPr>
          <w:p w14:paraId="19235EB7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  <w:t>34.4</w:t>
            </w:r>
          </w:p>
          <w:p w14:paraId="7CF55AA2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  <w:t>(29.4, 39.4)</w:t>
            </w:r>
          </w:p>
        </w:tc>
        <w:tc>
          <w:tcPr>
            <w:tcW w:w="1771" w:type="dxa"/>
          </w:tcPr>
          <w:p w14:paraId="6BA2F5FB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  <w:t>0.00058*</w:t>
            </w:r>
          </w:p>
          <w:p w14:paraId="65C38535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</w:pPr>
          </w:p>
        </w:tc>
        <w:tc>
          <w:tcPr>
            <w:tcW w:w="1772" w:type="dxa"/>
          </w:tcPr>
          <w:p w14:paraId="18DA392B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  <w:t>0.69</w:t>
            </w:r>
          </w:p>
          <w:p w14:paraId="06CFE437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  <w:t>(0.55, 0.87)</w:t>
            </w:r>
          </w:p>
        </w:tc>
      </w:tr>
      <w:tr w:rsidR="004318D8" w:rsidRPr="004318D8" w14:paraId="062BD8D1" w14:textId="77777777" w:rsidTr="004318D8">
        <w:trPr>
          <w:cantSplit/>
        </w:trPr>
        <w:tc>
          <w:tcPr>
            <w:tcW w:w="2094" w:type="dxa"/>
          </w:tcPr>
          <w:p w14:paraId="7FD416BD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Время до прогрессирования (ВДП) [медиан, недели (95% ДИ)]**</w:t>
            </w:r>
          </w:p>
        </w:tc>
        <w:tc>
          <w:tcPr>
            <w:tcW w:w="1771" w:type="dxa"/>
          </w:tcPr>
          <w:p w14:paraId="06795177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  <w:t>24.0</w:t>
            </w:r>
          </w:p>
          <w:p w14:paraId="7736FEFF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  <w:t>(18.0, 30.0)</w:t>
            </w:r>
          </w:p>
        </w:tc>
        <w:tc>
          <w:tcPr>
            <w:tcW w:w="1771" w:type="dxa"/>
          </w:tcPr>
          <w:p w14:paraId="13E16264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  <w:t>12.3</w:t>
            </w:r>
          </w:p>
          <w:p w14:paraId="48886394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  <w:t>(11.7, 17.1)</w:t>
            </w:r>
          </w:p>
        </w:tc>
        <w:tc>
          <w:tcPr>
            <w:tcW w:w="1771" w:type="dxa"/>
          </w:tcPr>
          <w:p w14:paraId="33610905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  <w:t>0.000007</w:t>
            </w:r>
          </w:p>
        </w:tc>
        <w:tc>
          <w:tcPr>
            <w:tcW w:w="1772" w:type="dxa"/>
          </w:tcPr>
          <w:p w14:paraId="2CA3E001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  <w:t>0.58</w:t>
            </w:r>
          </w:p>
          <w:p w14:paraId="25D56261" w14:textId="77777777" w:rsidR="004318D8" w:rsidRPr="004318D8" w:rsidRDefault="004318D8" w:rsidP="00431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</w:pPr>
            <w:r w:rsidRPr="004318D8">
              <w:rPr>
                <w:rFonts w:ascii="Times New Roman" w:hAnsi="Times New Roman"/>
                <w:iCs/>
                <w:sz w:val="24"/>
                <w:szCs w:val="24"/>
                <w:lang w:val="en-GB" w:eastAsia="ru-RU"/>
              </w:rPr>
              <w:t>(0.45, 0.74)</w:t>
            </w:r>
          </w:p>
        </w:tc>
      </w:tr>
    </w:tbl>
    <w:p w14:paraId="5B297888" w14:textId="77777777" w:rsidR="004318D8" w:rsidRPr="004318D8" w:rsidRDefault="004318D8" w:rsidP="00431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eastAsia="ru-RU"/>
        </w:rPr>
      </w:pPr>
      <w:r w:rsidRPr="004318D8">
        <w:rPr>
          <w:rFonts w:ascii="Times New Roman" w:hAnsi="Times New Roman"/>
          <w:iCs/>
          <w:lang w:eastAsia="ru-RU"/>
        </w:rPr>
        <w:t xml:space="preserve">ДИ=доверительный интервал, </w:t>
      </w:r>
      <w:r w:rsidRPr="00DE3E89">
        <w:rPr>
          <w:rFonts w:ascii="Times New Roman" w:hAnsi="Times New Roman"/>
          <w:iCs/>
          <w:lang w:eastAsia="ru-RU"/>
        </w:rPr>
        <w:t>КР</w:t>
      </w:r>
      <w:r w:rsidRPr="004318D8">
        <w:rPr>
          <w:rFonts w:ascii="Times New Roman" w:hAnsi="Times New Roman"/>
          <w:iCs/>
          <w:lang w:eastAsia="ru-RU"/>
        </w:rPr>
        <w:t>=</w:t>
      </w:r>
      <w:r w:rsidRPr="00DE3E89">
        <w:rPr>
          <w:rFonts w:ascii="Times New Roman" w:hAnsi="Times New Roman"/>
          <w:iCs/>
          <w:lang w:eastAsia="ru-RU"/>
        </w:rPr>
        <w:t>коэффициент рисков</w:t>
      </w:r>
      <w:r w:rsidRPr="004318D8">
        <w:rPr>
          <w:rFonts w:ascii="Times New Roman" w:hAnsi="Times New Roman"/>
          <w:iCs/>
          <w:lang w:eastAsia="ru-RU"/>
        </w:rPr>
        <w:t xml:space="preserve"> (</w:t>
      </w:r>
      <w:r w:rsidR="00DE3E89" w:rsidRPr="00DE3E89">
        <w:rPr>
          <w:rFonts w:ascii="Times New Roman" w:hAnsi="Times New Roman"/>
          <w:iCs/>
          <w:lang w:eastAsia="ru-RU"/>
        </w:rPr>
        <w:t>с</w:t>
      </w:r>
      <w:r w:rsidRPr="004318D8">
        <w:rPr>
          <w:rFonts w:ascii="Times New Roman" w:hAnsi="Times New Roman"/>
          <w:iCs/>
          <w:lang w:eastAsia="ru-RU"/>
        </w:rPr>
        <w:t>орафениб по сравнению с плацебо)</w:t>
      </w:r>
    </w:p>
    <w:p w14:paraId="6101D27F" w14:textId="77777777" w:rsidR="004318D8" w:rsidRPr="004318D8" w:rsidRDefault="004318D8" w:rsidP="00431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eastAsia="ru-RU"/>
        </w:rPr>
      </w:pPr>
      <w:r w:rsidRPr="004318D8">
        <w:rPr>
          <w:rFonts w:ascii="Times New Roman" w:hAnsi="Times New Roman"/>
          <w:iCs/>
          <w:lang w:eastAsia="ru-RU"/>
        </w:rPr>
        <w:t>* статистически значимо, поскольку р-значение было ниже заранее заданной границы остановки О'Брайена Флеминга 0</w:t>
      </w:r>
      <w:r w:rsidR="00DE3E89" w:rsidRPr="00DE3E89">
        <w:rPr>
          <w:rFonts w:ascii="Times New Roman" w:hAnsi="Times New Roman"/>
          <w:iCs/>
          <w:lang w:eastAsia="ru-RU"/>
        </w:rPr>
        <w:t>.</w:t>
      </w:r>
      <w:r w:rsidRPr="004318D8">
        <w:rPr>
          <w:rFonts w:ascii="Times New Roman" w:hAnsi="Times New Roman"/>
          <w:iCs/>
          <w:lang w:eastAsia="ru-RU"/>
        </w:rPr>
        <w:t>0077</w:t>
      </w:r>
    </w:p>
    <w:p w14:paraId="1DF52ADB" w14:textId="77777777" w:rsidR="004318D8" w:rsidRPr="004318D8" w:rsidRDefault="004318D8" w:rsidP="00431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eastAsia="ru-RU"/>
        </w:rPr>
      </w:pPr>
      <w:r w:rsidRPr="004318D8">
        <w:rPr>
          <w:rFonts w:ascii="Times New Roman" w:hAnsi="Times New Roman"/>
          <w:iCs/>
          <w:lang w:eastAsia="ru-RU"/>
        </w:rPr>
        <w:t>** независимый радиологический обзор</w:t>
      </w:r>
    </w:p>
    <w:p w14:paraId="6179C96E" w14:textId="77777777" w:rsidR="004A5126" w:rsidRPr="00134136" w:rsidRDefault="004A5126" w:rsidP="004A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D3394">
        <w:rPr>
          <w:rFonts w:ascii="Times New Roman" w:hAnsi="Times New Roman"/>
          <w:iCs/>
          <w:sz w:val="24"/>
          <w:szCs w:val="24"/>
          <w:lang w:eastAsia="ru-RU"/>
        </w:rPr>
        <w:t>Во втором Международном многоцентровом рандомизированном</w:t>
      </w:r>
      <w:r w:rsidRPr="008924CE">
        <w:rPr>
          <w:rFonts w:ascii="Times New Roman" w:hAnsi="Times New Roman"/>
          <w:iCs/>
          <w:sz w:val="24"/>
          <w:szCs w:val="24"/>
          <w:lang w:eastAsia="ru-RU"/>
        </w:rPr>
        <w:t xml:space="preserve"> двойном слепом плацебо-контролируемом исследовании III фазы (исследование 4, 11849) оценивалась клиническая польза сорафениба у 226 пациентов с прогрессирующей гепатоцеллюлярной карциномой. Это исследование, проведенное в Китае, Корее и Тайване, подтверди</w:t>
      </w:r>
      <w:r w:rsidRPr="00134136">
        <w:rPr>
          <w:rFonts w:ascii="Times New Roman" w:hAnsi="Times New Roman"/>
          <w:iCs/>
          <w:sz w:val="24"/>
          <w:szCs w:val="24"/>
          <w:lang w:eastAsia="ru-RU"/>
        </w:rPr>
        <w:t>ло результаты исследования 3 в отношении благоприятного профиля пользы и риска применения сорафениба (</w:t>
      </w:r>
      <w:r>
        <w:rPr>
          <w:rFonts w:ascii="Times New Roman" w:hAnsi="Times New Roman"/>
          <w:iCs/>
          <w:sz w:val="24"/>
          <w:szCs w:val="24"/>
          <w:lang w:eastAsia="ru-RU"/>
        </w:rPr>
        <w:t>КР (Общая выживаемость)</w:t>
      </w:r>
      <w:r w:rsidRPr="00134136">
        <w:rPr>
          <w:rFonts w:ascii="Times New Roman" w:hAnsi="Times New Roman"/>
          <w:iCs/>
          <w:sz w:val="24"/>
          <w:szCs w:val="24"/>
          <w:lang w:eastAsia="ru-RU"/>
        </w:rPr>
        <w:t>: 0,68, p = 0,01414).</w:t>
      </w:r>
    </w:p>
    <w:p w14:paraId="183171CE" w14:textId="77777777" w:rsidR="004A5126" w:rsidRPr="00DD3394" w:rsidRDefault="004A5126" w:rsidP="004A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D3394">
        <w:rPr>
          <w:rFonts w:ascii="Times New Roman" w:hAnsi="Times New Roman"/>
          <w:iCs/>
          <w:sz w:val="24"/>
          <w:szCs w:val="24"/>
          <w:lang w:eastAsia="ru-RU"/>
        </w:rPr>
        <w:t xml:space="preserve">В заранее определенных факторах стратификации (состояние ECOG, наличие или отсутствие макроскопической сосудистой инвазии и/или внепеченочного распространения опухоли) как в исследовании 3, так и в исследовании 4 показатели </w:t>
      </w:r>
      <w:r>
        <w:rPr>
          <w:rFonts w:ascii="Times New Roman" w:hAnsi="Times New Roman"/>
          <w:iCs/>
          <w:sz w:val="24"/>
          <w:szCs w:val="24"/>
          <w:lang w:eastAsia="ru-RU"/>
        </w:rPr>
        <w:t>КР</w:t>
      </w:r>
      <w:r w:rsidRPr="00DD3394">
        <w:rPr>
          <w:rFonts w:ascii="Times New Roman" w:hAnsi="Times New Roman"/>
          <w:iCs/>
          <w:sz w:val="24"/>
          <w:szCs w:val="24"/>
          <w:lang w:eastAsia="ru-RU"/>
        </w:rPr>
        <w:t xml:space="preserve"> неизменно были в пользу сорафениба по сравнению с плацебо. Исследования подгрупп показали, что пациенты с отдаленными метастазами в исходном состоянии получали менее выраженный эффект лечения.</w:t>
      </w:r>
    </w:p>
    <w:p w14:paraId="3BE7B471" w14:textId="77777777" w:rsidR="004A5126" w:rsidRPr="00DD3394" w:rsidRDefault="004A5126" w:rsidP="004A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DD3394">
        <w:rPr>
          <w:rFonts w:ascii="Times New Roman" w:hAnsi="Times New Roman"/>
          <w:i/>
          <w:iCs/>
          <w:sz w:val="24"/>
          <w:szCs w:val="24"/>
          <w:lang w:eastAsia="ru-RU"/>
        </w:rPr>
        <w:t>Почечно-клеточный рак</w:t>
      </w:r>
    </w:p>
    <w:p w14:paraId="43022D44" w14:textId="77777777" w:rsidR="004A5126" w:rsidRPr="00DD3394" w:rsidRDefault="004A5126" w:rsidP="004A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D3394">
        <w:rPr>
          <w:rFonts w:ascii="Times New Roman" w:hAnsi="Times New Roman"/>
          <w:iCs/>
          <w:sz w:val="24"/>
          <w:szCs w:val="24"/>
          <w:lang w:eastAsia="ru-RU"/>
        </w:rPr>
        <w:t>Безопасность и эффективность применения сорафениба при лечении прогрессирующе</w:t>
      </w:r>
      <w:r>
        <w:rPr>
          <w:rFonts w:ascii="Times New Roman" w:hAnsi="Times New Roman"/>
          <w:iCs/>
          <w:sz w:val="24"/>
          <w:szCs w:val="24"/>
          <w:lang w:eastAsia="ru-RU"/>
        </w:rPr>
        <w:t>го</w:t>
      </w:r>
      <w:r w:rsidRPr="00DD3394">
        <w:rPr>
          <w:rFonts w:ascii="Times New Roman" w:hAnsi="Times New Roman"/>
          <w:iCs/>
          <w:sz w:val="24"/>
          <w:szCs w:val="24"/>
          <w:lang w:eastAsia="ru-RU"/>
        </w:rPr>
        <w:t xml:space="preserve"> почечно-клеточного рака (ПКР) </w:t>
      </w:r>
      <w:r>
        <w:rPr>
          <w:rFonts w:ascii="Times New Roman" w:hAnsi="Times New Roman"/>
          <w:iCs/>
          <w:sz w:val="24"/>
          <w:szCs w:val="24"/>
          <w:lang w:eastAsia="ru-RU"/>
        </w:rPr>
        <w:t>оценивались</w:t>
      </w:r>
      <w:r w:rsidRPr="00DD3394">
        <w:rPr>
          <w:rFonts w:ascii="Times New Roman" w:hAnsi="Times New Roman"/>
          <w:iCs/>
          <w:sz w:val="24"/>
          <w:szCs w:val="24"/>
          <w:lang w:eastAsia="ru-RU"/>
        </w:rPr>
        <w:t xml:space="preserve"> в двух клинических исследованиях:</w:t>
      </w:r>
    </w:p>
    <w:p w14:paraId="458F57DA" w14:textId="77777777" w:rsidR="004A5126" w:rsidRPr="00DD3394" w:rsidRDefault="004A5126" w:rsidP="004A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D3394">
        <w:rPr>
          <w:rFonts w:ascii="Times New Roman" w:hAnsi="Times New Roman"/>
          <w:iCs/>
          <w:sz w:val="24"/>
          <w:szCs w:val="24"/>
          <w:lang w:eastAsia="ru-RU"/>
        </w:rPr>
        <w:t xml:space="preserve">Исследование 1 (исследование 11213) представляло собой многоцентровое рандомизированное двойное слепое плацебо-контролируемое исследование III фазы с участием 903 пациентов. В исследование были включены </w:t>
      </w:r>
      <w:r>
        <w:rPr>
          <w:rFonts w:ascii="Times New Roman" w:hAnsi="Times New Roman"/>
          <w:iCs/>
          <w:sz w:val="24"/>
          <w:szCs w:val="24"/>
          <w:lang w:eastAsia="ru-RU"/>
        </w:rPr>
        <w:t>исключительно</w:t>
      </w:r>
      <w:r w:rsidRPr="00DD3394">
        <w:rPr>
          <w:rFonts w:ascii="Times New Roman" w:hAnsi="Times New Roman"/>
          <w:iCs/>
          <w:sz w:val="24"/>
          <w:szCs w:val="24"/>
          <w:lang w:eastAsia="ru-RU"/>
        </w:rPr>
        <w:t xml:space="preserve"> пациенты с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о </w:t>
      </w:r>
      <w:r w:rsidRPr="00DD3394">
        <w:rPr>
          <w:rFonts w:ascii="Times New Roman" w:hAnsi="Times New Roman"/>
          <w:iCs/>
          <w:sz w:val="24"/>
          <w:szCs w:val="24"/>
          <w:lang w:eastAsia="ru-RU"/>
        </w:rPr>
        <w:t>светлоклеточн</w:t>
      </w:r>
      <w:r>
        <w:rPr>
          <w:rFonts w:ascii="Times New Roman" w:hAnsi="Times New Roman"/>
          <w:iCs/>
          <w:sz w:val="24"/>
          <w:szCs w:val="24"/>
          <w:lang w:eastAsia="ru-RU"/>
        </w:rPr>
        <w:t>ым раком почки</w:t>
      </w:r>
      <w:r w:rsidRPr="00DD3394">
        <w:rPr>
          <w:rFonts w:ascii="Times New Roman" w:hAnsi="Times New Roman"/>
          <w:iCs/>
          <w:sz w:val="24"/>
          <w:szCs w:val="24"/>
          <w:lang w:eastAsia="ru-RU"/>
        </w:rPr>
        <w:t xml:space="preserve"> и низким и средним риском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по оценке </w:t>
      </w:r>
      <w:r w:rsidRPr="00DD3394">
        <w:rPr>
          <w:rFonts w:ascii="Times New Roman" w:hAnsi="Times New Roman"/>
          <w:iCs/>
          <w:sz w:val="24"/>
          <w:szCs w:val="24"/>
          <w:lang w:eastAsia="ru-RU"/>
        </w:rPr>
        <w:t xml:space="preserve">МОЦСК </w:t>
      </w:r>
      <w:r>
        <w:rPr>
          <w:rFonts w:ascii="Times New Roman" w:hAnsi="Times New Roman"/>
          <w:iCs/>
          <w:sz w:val="24"/>
          <w:szCs w:val="24"/>
          <w:lang w:eastAsia="ru-RU"/>
        </w:rPr>
        <w:t>(</w:t>
      </w:r>
      <w:r w:rsidRPr="00DD3394">
        <w:rPr>
          <w:rFonts w:ascii="Times New Roman" w:hAnsi="Times New Roman"/>
          <w:iCs/>
          <w:sz w:val="24"/>
          <w:szCs w:val="24"/>
          <w:lang w:eastAsia="ru-RU"/>
        </w:rPr>
        <w:t>Мемориальный онкологический центр Слоана-Кеттеринга). Основными конечными точками были общая выживаемость и выживаемость без прогрессирования (ВБП).</w:t>
      </w:r>
    </w:p>
    <w:p w14:paraId="272A3158" w14:textId="77777777" w:rsidR="004A5126" w:rsidRPr="00134136" w:rsidRDefault="004A5126" w:rsidP="004A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D3394">
        <w:rPr>
          <w:rFonts w:ascii="Times New Roman" w:hAnsi="Times New Roman"/>
          <w:iCs/>
          <w:sz w:val="24"/>
          <w:szCs w:val="24"/>
          <w:lang w:eastAsia="ru-RU"/>
        </w:rPr>
        <w:t xml:space="preserve">Примерно половина пациентов имела статус эффективности </w:t>
      </w:r>
      <w:r w:rsidRPr="00C81FDE">
        <w:rPr>
          <w:rFonts w:ascii="Times New Roman" w:hAnsi="Times New Roman"/>
          <w:sz w:val="24"/>
          <w:szCs w:val="24"/>
          <w:lang w:val="en-GB"/>
        </w:rPr>
        <w:t>ECOG</w:t>
      </w:r>
      <w:r w:rsidRPr="00DD339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8924CE">
        <w:rPr>
          <w:rFonts w:ascii="Times New Roman" w:hAnsi="Times New Roman"/>
          <w:iCs/>
          <w:sz w:val="24"/>
          <w:szCs w:val="24"/>
          <w:lang w:eastAsia="ru-RU"/>
        </w:rPr>
        <w:t>0</w:t>
      </w:r>
      <w:r w:rsidRPr="00134136">
        <w:rPr>
          <w:rFonts w:ascii="Times New Roman" w:hAnsi="Times New Roman"/>
          <w:iCs/>
          <w:sz w:val="24"/>
          <w:szCs w:val="24"/>
          <w:lang w:eastAsia="ru-RU"/>
        </w:rPr>
        <w:t>, а половина пациентов находилась в прогностической группе низкого риска МОЦСК.</w:t>
      </w:r>
    </w:p>
    <w:p w14:paraId="18B3CD12" w14:textId="77777777" w:rsidR="004A5126" w:rsidRDefault="004A5126" w:rsidP="004A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D3394">
        <w:rPr>
          <w:rFonts w:ascii="Times New Roman" w:hAnsi="Times New Roman"/>
          <w:iCs/>
          <w:sz w:val="24"/>
          <w:szCs w:val="24"/>
          <w:lang w:eastAsia="ru-RU"/>
        </w:rPr>
        <w:t>ВБП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D3394">
        <w:rPr>
          <w:rFonts w:ascii="Times New Roman" w:hAnsi="Times New Roman"/>
          <w:iCs/>
          <w:sz w:val="24"/>
          <w:szCs w:val="24"/>
          <w:lang w:eastAsia="ru-RU"/>
        </w:rPr>
        <w:t xml:space="preserve">оценивали методом слепого независимого радиологического обзора с использованием критериев </w:t>
      </w:r>
      <w:r w:rsidRPr="00DD3394">
        <w:rPr>
          <w:rFonts w:ascii="Times New Roman" w:hAnsi="Times New Roman"/>
          <w:iCs/>
          <w:sz w:val="24"/>
          <w:szCs w:val="24"/>
          <w:lang w:val="en-US" w:eastAsia="ru-RU"/>
        </w:rPr>
        <w:t>RECIST</w:t>
      </w:r>
      <w:r w:rsidRPr="00DD3394">
        <w:rPr>
          <w:rFonts w:ascii="Times New Roman" w:hAnsi="Times New Roman"/>
          <w:iCs/>
          <w:sz w:val="24"/>
          <w:szCs w:val="24"/>
          <w:lang w:eastAsia="ru-RU"/>
        </w:rPr>
        <w:t xml:space="preserve">. Анализ ВБП был проведен при 342 событиях у 769 пациентов. Медиана ВБП составила 167 дней для пациентов, рандомизированных </w:t>
      </w:r>
      <w:r>
        <w:rPr>
          <w:rFonts w:ascii="Times New Roman" w:hAnsi="Times New Roman"/>
          <w:iCs/>
          <w:sz w:val="24"/>
          <w:szCs w:val="24"/>
          <w:lang w:eastAsia="ru-RU"/>
        </w:rPr>
        <w:t>для приема</w:t>
      </w:r>
      <w:r w:rsidRPr="00DD3394">
        <w:rPr>
          <w:rFonts w:ascii="Times New Roman" w:hAnsi="Times New Roman"/>
          <w:iCs/>
          <w:sz w:val="24"/>
          <w:szCs w:val="24"/>
          <w:lang w:eastAsia="ru-RU"/>
        </w:rPr>
        <w:t xml:space="preserve"> сорафениб</w:t>
      </w:r>
      <w:r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Pr="00DD3394">
        <w:rPr>
          <w:rFonts w:ascii="Times New Roman" w:hAnsi="Times New Roman"/>
          <w:iCs/>
          <w:sz w:val="24"/>
          <w:szCs w:val="24"/>
          <w:lang w:eastAsia="ru-RU"/>
        </w:rPr>
        <w:t>, по сравнению с 84 днями для пациентов, получавших плацебо (</w:t>
      </w:r>
      <w:r>
        <w:rPr>
          <w:rFonts w:ascii="Times New Roman" w:hAnsi="Times New Roman"/>
          <w:iCs/>
          <w:sz w:val="24"/>
          <w:szCs w:val="24"/>
          <w:lang w:eastAsia="ru-RU"/>
        </w:rPr>
        <w:t>Коэффициент рисков</w:t>
      </w:r>
      <w:r w:rsidRPr="00DD3394">
        <w:rPr>
          <w:rFonts w:ascii="Times New Roman" w:hAnsi="Times New Roman"/>
          <w:iCs/>
          <w:sz w:val="24"/>
          <w:szCs w:val="24"/>
          <w:lang w:eastAsia="ru-RU"/>
        </w:rPr>
        <w:t xml:space="preserve"> = 0,44; 95 % Д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Pr="00DD3394">
        <w:rPr>
          <w:rFonts w:ascii="Times New Roman" w:hAnsi="Times New Roman"/>
          <w:iCs/>
          <w:sz w:val="24"/>
          <w:szCs w:val="24"/>
          <w:lang w:eastAsia="ru-RU"/>
        </w:rPr>
        <w:t xml:space="preserve">: 0,35 - 0,55; Р &lt; 0,000001). Возраст, прогностическая группа МОЦСК,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статус эффективности </w:t>
      </w:r>
      <w:r w:rsidRPr="00DD3394">
        <w:rPr>
          <w:rFonts w:ascii="Times New Roman" w:hAnsi="Times New Roman"/>
          <w:iCs/>
          <w:sz w:val="24"/>
          <w:szCs w:val="24"/>
          <w:lang w:val="en-US" w:eastAsia="ru-RU"/>
        </w:rPr>
        <w:t>EGOC</w:t>
      </w:r>
      <w:r w:rsidRPr="00DD3394">
        <w:rPr>
          <w:rFonts w:ascii="Times New Roman" w:hAnsi="Times New Roman"/>
          <w:iCs/>
          <w:sz w:val="24"/>
          <w:szCs w:val="24"/>
          <w:lang w:eastAsia="ru-RU"/>
        </w:rPr>
        <w:t xml:space="preserve"> и предшествующая терапия не влияли на величину лечебного эффекта.</w:t>
      </w:r>
    </w:p>
    <w:p w14:paraId="44CEE5AF" w14:textId="77777777" w:rsidR="004A5126" w:rsidRPr="004A5126" w:rsidRDefault="004A5126" w:rsidP="004A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Промежуточный анализ (второй промежуточный анализ) общей выживаемости был проведен при 367 </w:t>
      </w:r>
      <w:r>
        <w:rPr>
          <w:rFonts w:ascii="Times New Roman" w:hAnsi="Times New Roman"/>
          <w:iCs/>
          <w:sz w:val="24"/>
          <w:szCs w:val="24"/>
          <w:lang w:eastAsia="ru-RU"/>
        </w:rPr>
        <w:t>летальных случаях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у 903 пациентов. Номинальное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альфа 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значение для </w:t>
      </w:r>
      <w:r>
        <w:rPr>
          <w:rFonts w:ascii="Times New Roman" w:hAnsi="Times New Roman"/>
          <w:iCs/>
          <w:sz w:val="24"/>
          <w:szCs w:val="24"/>
          <w:lang w:eastAsia="ru-RU"/>
        </w:rPr>
        <w:t>данного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анализа составило 0</w:t>
      </w:r>
      <w:r>
        <w:rPr>
          <w:rFonts w:ascii="Times New Roman" w:hAnsi="Times New Roman"/>
          <w:iCs/>
          <w:sz w:val="24"/>
          <w:szCs w:val="24"/>
          <w:lang w:eastAsia="ru-RU"/>
        </w:rPr>
        <w:t>.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0094. </w:t>
      </w:r>
      <w:r>
        <w:rPr>
          <w:rFonts w:ascii="Times New Roman" w:hAnsi="Times New Roman"/>
          <w:iCs/>
          <w:sz w:val="24"/>
          <w:szCs w:val="24"/>
          <w:lang w:eastAsia="ru-RU"/>
        </w:rPr>
        <w:t>Средняя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выживаемост</w:t>
      </w:r>
      <w:r>
        <w:rPr>
          <w:rFonts w:ascii="Times New Roman" w:hAnsi="Times New Roman"/>
          <w:iCs/>
          <w:sz w:val="24"/>
          <w:szCs w:val="24"/>
          <w:lang w:eastAsia="ru-RU"/>
        </w:rPr>
        <w:t>ь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составила 19,3 месяца</w:t>
      </w:r>
      <w:r>
        <w:rPr>
          <w:rFonts w:ascii="Times New Roman" w:hAnsi="Times New Roman"/>
          <w:iCs/>
          <w:sz w:val="24"/>
          <w:szCs w:val="24"/>
          <w:lang w:eastAsia="ru-RU"/>
        </w:rPr>
        <w:t>ми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для пациентов, рандомизированных </w:t>
      </w:r>
      <w:r>
        <w:rPr>
          <w:rFonts w:ascii="Times New Roman" w:hAnsi="Times New Roman"/>
          <w:iCs/>
          <w:sz w:val="24"/>
          <w:szCs w:val="24"/>
          <w:lang w:eastAsia="ru-RU"/>
        </w:rPr>
        <w:t>для приема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4A5126">
        <w:rPr>
          <w:rFonts w:ascii="Times New Roman" w:hAnsi="Times New Roman"/>
          <w:iCs/>
          <w:sz w:val="24"/>
          <w:szCs w:val="24"/>
          <w:lang w:val="en-US" w:eastAsia="ru-RU"/>
        </w:rPr>
        <w:t>c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>орафениб</w:t>
      </w:r>
      <w:r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>, по сравнению с 15,9 месяцами для пациентов, получавших плацебо (</w:t>
      </w:r>
      <w:r>
        <w:rPr>
          <w:rFonts w:ascii="Times New Roman" w:hAnsi="Times New Roman"/>
          <w:iCs/>
          <w:sz w:val="24"/>
          <w:szCs w:val="24"/>
          <w:lang w:eastAsia="ru-RU"/>
        </w:rPr>
        <w:t>коэффициент рисков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= 0</w:t>
      </w:r>
      <w:r>
        <w:rPr>
          <w:rFonts w:ascii="Times New Roman" w:hAnsi="Times New Roman"/>
          <w:iCs/>
          <w:sz w:val="24"/>
          <w:szCs w:val="24"/>
          <w:lang w:eastAsia="ru-RU"/>
        </w:rPr>
        <w:t>.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>77; 95 % Д</w:t>
      </w: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: 0,63-0,95; Р = 0,015). На момент проведения этого анализа около 200 пациентов перешли на </w:t>
      </w:r>
      <w:r w:rsidRPr="004A5126">
        <w:rPr>
          <w:rFonts w:ascii="Times New Roman" w:hAnsi="Times New Roman"/>
          <w:iCs/>
          <w:sz w:val="24"/>
          <w:szCs w:val="24"/>
          <w:lang w:val="en-US" w:eastAsia="ru-RU"/>
        </w:rPr>
        <w:t>c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>орафениб из группы плацебо.</w:t>
      </w:r>
    </w:p>
    <w:p w14:paraId="504E429D" w14:textId="77777777" w:rsidR="004A5126" w:rsidRPr="004A5126" w:rsidRDefault="004A5126" w:rsidP="004A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14:paraId="655E6B48" w14:textId="77777777" w:rsidR="004A5126" w:rsidRPr="004A5126" w:rsidRDefault="004A5126" w:rsidP="004A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A5126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Исследование 2 представляло собой исследование II фазы, прекращающее лечение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у 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пациентов с метастатическими злокачественными новообразованиями, включая ПКР. Пациенты со стабильным заболеванием на фоне терапии сорафенибом были рандомизированы на плацебо или продолжили терапию сорафенибом. Выживаемость без прогрессирования у пациентов с ПКР была достоверно выше в группе сорафениба (163 дня), чем в группе плацебо (41 день) (Р = 0,0001, </w:t>
      </w:r>
      <w:r>
        <w:rPr>
          <w:rFonts w:ascii="Times New Roman" w:hAnsi="Times New Roman"/>
          <w:iCs/>
          <w:sz w:val="24"/>
          <w:szCs w:val="24"/>
          <w:lang w:eastAsia="ru-RU"/>
        </w:rPr>
        <w:t>коэффициент рисков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= 0,29).</w:t>
      </w:r>
    </w:p>
    <w:p w14:paraId="724698B9" w14:textId="77777777" w:rsidR="004A5126" w:rsidRPr="004A5126" w:rsidRDefault="004A5126" w:rsidP="004A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A5126">
        <w:rPr>
          <w:rFonts w:ascii="Times New Roman" w:hAnsi="Times New Roman"/>
          <w:i/>
          <w:sz w:val="24"/>
          <w:szCs w:val="24"/>
          <w:lang w:eastAsia="ru-RU"/>
        </w:rPr>
        <w:t>Дифференцированный рак щитовидной железы (ДРЩЖ)</w:t>
      </w:r>
    </w:p>
    <w:p w14:paraId="195DDCCF" w14:textId="77777777" w:rsidR="004A5126" w:rsidRPr="004A5126" w:rsidRDefault="004A5126" w:rsidP="004A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A5126">
        <w:rPr>
          <w:rFonts w:ascii="Times New Roman" w:hAnsi="Times New Roman"/>
          <w:sz w:val="24"/>
          <w:szCs w:val="24"/>
          <w:lang w:eastAsia="ru-RU"/>
        </w:rPr>
        <w:t xml:space="preserve">Исследование 5 (исследование 14295) представляло собой международное многоцентровое рандомизированное двойное слепое плацебо-контролируемое исследование </w:t>
      </w:r>
      <w:r w:rsidRPr="004A5126">
        <w:rPr>
          <w:rFonts w:ascii="Times New Roman" w:hAnsi="Times New Roman"/>
          <w:sz w:val="24"/>
          <w:szCs w:val="24"/>
          <w:lang w:val="en-GB" w:eastAsia="ru-RU"/>
        </w:rPr>
        <w:t>III</w:t>
      </w:r>
      <w:r w:rsidRPr="004A5126">
        <w:rPr>
          <w:rFonts w:ascii="Times New Roman" w:hAnsi="Times New Roman"/>
          <w:sz w:val="24"/>
          <w:szCs w:val="24"/>
          <w:lang w:eastAsia="ru-RU"/>
        </w:rPr>
        <w:t xml:space="preserve"> фазы у 417 пациентов с местнораспространенным или метастатическим ДРЩЖ, рефрактерным к радиоактивному йоду. Основной конечной точкой исследования была выживаемость без прогрессирования (ВБП), оцененная слепым независимым рентгенологическим обзором с использованием критериев </w:t>
      </w:r>
      <w:r w:rsidRPr="004A5126">
        <w:rPr>
          <w:rFonts w:ascii="Times New Roman" w:hAnsi="Times New Roman"/>
          <w:sz w:val="24"/>
          <w:szCs w:val="24"/>
          <w:lang w:val="en-US" w:eastAsia="ru-RU"/>
        </w:rPr>
        <w:t>RECIST</w:t>
      </w:r>
      <w:r w:rsidRPr="004A5126">
        <w:rPr>
          <w:rFonts w:ascii="Times New Roman" w:hAnsi="Times New Roman"/>
          <w:sz w:val="24"/>
          <w:szCs w:val="24"/>
          <w:lang w:eastAsia="ru-RU"/>
        </w:rPr>
        <w:t xml:space="preserve">. Вторичные конечные точки включали общую выживаемость (ОВ), частоту опухолевого ответа и продолжительность ответа. После прогрессирования заболевания пациентам разрешалось получать </w:t>
      </w:r>
      <w:r w:rsidRPr="00EB06CD">
        <w:rPr>
          <w:rFonts w:ascii="Times New Roman" w:hAnsi="Times New Roman"/>
          <w:sz w:val="24"/>
          <w:szCs w:val="24"/>
          <w:lang w:eastAsia="ru-RU"/>
        </w:rPr>
        <w:t>сорафениб</w:t>
      </w:r>
      <w:r w:rsidR="00540419" w:rsidRPr="00EB06CD">
        <w:rPr>
          <w:rFonts w:ascii="Times New Roman" w:hAnsi="Times New Roman"/>
          <w:sz w:val="24"/>
          <w:szCs w:val="24"/>
          <w:lang w:eastAsia="ru-RU"/>
        </w:rPr>
        <w:t xml:space="preserve"> с открытой этикеткой</w:t>
      </w:r>
      <w:r w:rsidRPr="00EB06CD">
        <w:rPr>
          <w:rFonts w:ascii="Times New Roman" w:hAnsi="Times New Roman"/>
          <w:sz w:val="24"/>
          <w:szCs w:val="24"/>
          <w:lang w:eastAsia="ru-RU"/>
        </w:rPr>
        <w:t>.</w:t>
      </w:r>
    </w:p>
    <w:p w14:paraId="40EC9E62" w14:textId="77777777" w:rsidR="004A5126" w:rsidRPr="004A5126" w:rsidRDefault="004A5126" w:rsidP="004A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A5126">
        <w:rPr>
          <w:rFonts w:ascii="Times New Roman" w:hAnsi="Times New Roman"/>
          <w:sz w:val="24"/>
          <w:szCs w:val="24"/>
          <w:lang w:eastAsia="ru-RU"/>
        </w:rPr>
        <w:t xml:space="preserve">Пациенты включались в исследование, если у них наблюдалось прогрессирование заболевания в течение 14 месяцев после </w:t>
      </w:r>
      <w:r w:rsidR="00484394">
        <w:rPr>
          <w:rFonts w:ascii="Times New Roman" w:hAnsi="Times New Roman"/>
          <w:sz w:val="24"/>
          <w:szCs w:val="24"/>
          <w:lang w:eastAsia="ru-RU"/>
        </w:rPr>
        <w:t>включения в исследование и наличии</w:t>
      </w:r>
      <w:r w:rsidRPr="004A5126">
        <w:rPr>
          <w:rFonts w:ascii="Times New Roman" w:hAnsi="Times New Roman"/>
          <w:sz w:val="24"/>
          <w:szCs w:val="24"/>
          <w:lang w:eastAsia="ru-RU"/>
        </w:rPr>
        <w:t xml:space="preserve"> ДРЩЖ, </w:t>
      </w:r>
      <w:r w:rsidR="00484394">
        <w:rPr>
          <w:rFonts w:ascii="Times New Roman" w:hAnsi="Times New Roman"/>
          <w:sz w:val="24"/>
          <w:szCs w:val="24"/>
          <w:lang w:eastAsia="ru-RU"/>
        </w:rPr>
        <w:t xml:space="preserve">резистентного </w:t>
      </w:r>
      <w:r w:rsidRPr="004A5126">
        <w:rPr>
          <w:rFonts w:ascii="Times New Roman" w:hAnsi="Times New Roman"/>
          <w:sz w:val="24"/>
          <w:szCs w:val="24"/>
          <w:lang w:eastAsia="ru-RU"/>
        </w:rPr>
        <w:t xml:space="preserve">к радиоактивному йоду (РАЙ). </w:t>
      </w:r>
      <w:r w:rsidR="00484394">
        <w:rPr>
          <w:rFonts w:ascii="Times New Roman" w:hAnsi="Times New Roman"/>
          <w:sz w:val="24"/>
          <w:szCs w:val="24"/>
          <w:lang w:eastAsia="ru-RU"/>
        </w:rPr>
        <w:t>Резистентность</w:t>
      </w:r>
      <w:r w:rsidRPr="004A5126">
        <w:rPr>
          <w:rFonts w:ascii="Times New Roman" w:hAnsi="Times New Roman"/>
          <w:sz w:val="24"/>
          <w:szCs w:val="24"/>
          <w:lang w:eastAsia="ru-RU"/>
        </w:rPr>
        <w:t xml:space="preserve"> ДРЩЖ к РАЙ определялась как наличие поражения без поглощения йода при сканировании РАЙ, или получение кумулятивного РАЙ</w:t>
      </w:r>
      <w:r w:rsidRPr="004A5126">
        <w:rPr>
          <w:rFonts w:ascii="Times New Roman" w:hAnsi="Times New Roman" w:hint="eastAsia"/>
          <w:sz w:val="24"/>
          <w:szCs w:val="24"/>
          <w:lang w:eastAsia="ru-RU"/>
        </w:rPr>
        <w:t xml:space="preserve"> </w:t>
      </w:r>
      <w:r w:rsidRPr="004A5126">
        <w:rPr>
          <w:rFonts w:ascii="Times New Roman" w:hAnsi="Times New Roman" w:hint="eastAsia"/>
          <w:sz w:val="24"/>
          <w:szCs w:val="24"/>
          <w:lang w:eastAsia="ru-RU"/>
        </w:rPr>
        <w:t>≥</w:t>
      </w:r>
      <w:r w:rsidRPr="004A5126">
        <w:rPr>
          <w:rFonts w:ascii="Times New Roman" w:hAnsi="Times New Roman" w:hint="eastAsia"/>
          <w:sz w:val="24"/>
          <w:szCs w:val="24"/>
          <w:lang w:eastAsia="ru-RU"/>
        </w:rPr>
        <w:t xml:space="preserve"> 22,2 </w:t>
      </w:r>
      <w:r w:rsidR="00484394">
        <w:rPr>
          <w:rFonts w:ascii="Times New Roman" w:hAnsi="Times New Roman"/>
          <w:sz w:val="24"/>
          <w:szCs w:val="24"/>
          <w:lang w:eastAsia="ru-RU"/>
        </w:rPr>
        <w:t>гБк</w:t>
      </w:r>
      <w:r w:rsidRPr="004A5126">
        <w:rPr>
          <w:rFonts w:ascii="Times New Roman" w:hAnsi="Times New Roman"/>
          <w:sz w:val="24"/>
          <w:szCs w:val="24"/>
          <w:lang w:eastAsia="ru-RU"/>
        </w:rPr>
        <w:t>, или прогрессировани</w:t>
      </w:r>
      <w:r w:rsidR="00484394">
        <w:rPr>
          <w:rFonts w:ascii="Times New Roman" w:hAnsi="Times New Roman"/>
          <w:sz w:val="24"/>
          <w:szCs w:val="24"/>
          <w:lang w:eastAsia="ru-RU"/>
        </w:rPr>
        <w:t>е</w:t>
      </w:r>
      <w:r w:rsidRPr="004A5126">
        <w:rPr>
          <w:rFonts w:ascii="Times New Roman" w:hAnsi="Times New Roman"/>
          <w:sz w:val="24"/>
          <w:szCs w:val="24"/>
          <w:lang w:eastAsia="ru-RU"/>
        </w:rPr>
        <w:t xml:space="preserve"> после лечения РАЙ в течение 16 месяцев после </w:t>
      </w:r>
      <w:r w:rsidR="00484394">
        <w:rPr>
          <w:rFonts w:ascii="Times New Roman" w:hAnsi="Times New Roman"/>
          <w:sz w:val="24"/>
          <w:szCs w:val="24"/>
          <w:lang w:eastAsia="ru-RU"/>
        </w:rPr>
        <w:t>включения в исследование</w:t>
      </w:r>
      <w:r w:rsidRPr="004A5126">
        <w:rPr>
          <w:rFonts w:ascii="Times New Roman" w:hAnsi="Times New Roman"/>
          <w:sz w:val="24"/>
          <w:szCs w:val="24"/>
          <w:lang w:eastAsia="ru-RU"/>
        </w:rPr>
        <w:t xml:space="preserve"> или после двух процедур РАЙ в течение 16 месяцев друг от друга.</w:t>
      </w:r>
    </w:p>
    <w:p w14:paraId="5084DD62" w14:textId="77777777" w:rsidR="004A5126" w:rsidRPr="004A5126" w:rsidRDefault="004A5126" w:rsidP="004A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Исходные демографические показатели и характеристики пациентов были 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оптимально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сбалансированы для обеих групп лечения. Метастазы имелись в легких у 86%, лимфатических узлах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у 51% и 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 xml:space="preserve">в 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>костях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у 27% </w:t>
      </w:r>
      <w:r w:rsidR="00594D05">
        <w:rPr>
          <w:rFonts w:ascii="Times New Roman" w:hAnsi="Times New Roman"/>
          <w:iCs/>
          <w:sz w:val="24"/>
          <w:szCs w:val="24"/>
          <w:lang w:eastAsia="ru-RU"/>
        </w:rPr>
        <w:t>пациентов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. Медиана кумулятивной активности радиоактивного йода 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до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 xml:space="preserve">включения в исследование 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>соста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вляла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приблизительно 14,8 </w:t>
      </w:r>
      <w:r w:rsidR="00F637E0">
        <w:rPr>
          <w:rFonts w:ascii="Times New Roman" w:hAnsi="Times New Roman"/>
          <w:sz w:val="24"/>
          <w:szCs w:val="24"/>
          <w:lang w:eastAsia="ru-RU"/>
        </w:rPr>
        <w:t>гБк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У б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>ольшинств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пациентов 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наблюдалась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папиллярн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ая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карционома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(56,8%), затем фолликулярн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ая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(25,4%) и малодифференцированн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ая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карцинома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(9,6%).</w:t>
      </w:r>
    </w:p>
    <w:p w14:paraId="142DD2E5" w14:textId="77777777" w:rsidR="004A5126" w:rsidRPr="004A5126" w:rsidRDefault="004A5126" w:rsidP="004A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A5126">
        <w:rPr>
          <w:rFonts w:ascii="Times New Roman" w:hAnsi="Times New Roman"/>
          <w:iCs/>
          <w:sz w:val="24"/>
          <w:szCs w:val="24"/>
          <w:lang w:eastAsia="ru-RU"/>
        </w:rPr>
        <w:t>Медиана времени ВБП составила 10,8 мес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яцев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в группе сорафениба по сравнению с 5,8 мес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яцами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в группе плацебо (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КР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>=0,587; 95% доверительный интервал (ДИ): 0,454, 0,758; односторонний Р &lt;0,0001).</w:t>
      </w:r>
    </w:p>
    <w:p w14:paraId="3D0049F2" w14:textId="77777777" w:rsidR="004A5126" w:rsidRPr="004A5126" w:rsidRDefault="004A5126" w:rsidP="004A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Влияние сорафениба на ВБП было последовательным независимо от географического региона, возраста старше или 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младше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60 лет, пола, гистологического подтипа и наличия или отсутствия костных метастазов.</w:t>
      </w:r>
    </w:p>
    <w:p w14:paraId="4F21AFF1" w14:textId="77777777" w:rsidR="004A5126" w:rsidRPr="004A5126" w:rsidRDefault="004A5126" w:rsidP="004A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A5126">
        <w:rPr>
          <w:rFonts w:ascii="Times New Roman" w:hAnsi="Times New Roman"/>
          <w:iCs/>
          <w:sz w:val="24"/>
          <w:szCs w:val="24"/>
          <w:lang w:eastAsia="ru-RU"/>
        </w:rPr>
        <w:t>При анализе общей выживаемости, проведенном через 9 месяцев после отсечения данных для окончательного анализа ВБП, не было выявлено статистически значимой разницы в общей выживаемости между группами лечения (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КР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>=0,884; 95% Д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: 0,633, 1,236, одностороннее значение Р 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>0,236). Медиана ОВ не была достигнута в группе сорафениба и составила 36,5 мес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яцев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в группе плацебо. Сто пятьдесят семь (75%) пациентов, рандомизированных 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для приема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плацебо, и 61 (30%) пациент, рандомизированный 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для приема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сорафениб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, получили сорафениб </w:t>
      </w:r>
      <w:r w:rsidRPr="00EB06CD">
        <w:rPr>
          <w:rFonts w:ascii="Times New Roman" w:hAnsi="Times New Roman"/>
          <w:iCs/>
          <w:sz w:val="24"/>
          <w:szCs w:val="24"/>
          <w:lang w:eastAsia="ru-RU"/>
        </w:rPr>
        <w:t>с открытой этикеткой.</w:t>
      </w:r>
    </w:p>
    <w:p w14:paraId="5A678106" w14:textId="77777777" w:rsidR="004A5126" w:rsidRPr="004A5126" w:rsidRDefault="004A5126" w:rsidP="004A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A5126">
        <w:rPr>
          <w:rFonts w:ascii="Times New Roman" w:hAnsi="Times New Roman"/>
          <w:iCs/>
          <w:sz w:val="24"/>
          <w:szCs w:val="24"/>
          <w:lang w:eastAsia="ru-RU"/>
        </w:rPr>
        <w:t>Медиана продолжительности терапии в двойном слепом периоде составила 46 недель (диапазон 0,3-135) для пациентов, получавших сорафениб, и 28 недель (диапазон 1,7–132) для пациентов, получавших плацебо.</w:t>
      </w:r>
    </w:p>
    <w:p w14:paraId="4FCDA02A" w14:textId="77777777" w:rsidR="004A5126" w:rsidRPr="004A5126" w:rsidRDefault="004A5126" w:rsidP="004A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Полного ответа (ПО) по данным RECIST не наблюдалось. Частота 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общего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ответ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(ПО+ частичный ответ (ЧО) на независимую рентгенологическую оценку) была выше в группе сорафениба (24 пациента, 12,2%), чем в группе плацебо (1 пациент, 0,5%), односторонний Р&lt;0,0001. Медиана продолжительности ответа составила 309 дней (95% 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lastRenderedPageBreak/>
        <w:t>Д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>: 226</w:t>
      </w:r>
      <w:r w:rsidR="00F637E0">
        <w:rPr>
          <w:rFonts w:ascii="Times New Roman" w:hAnsi="Times New Roman"/>
          <w:iCs/>
          <w:sz w:val="24"/>
          <w:szCs w:val="24"/>
          <w:lang w:eastAsia="ru-RU"/>
        </w:rPr>
        <w:t>,</w:t>
      </w:r>
      <w:r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505 дней) у пациентов, получавших сорафениб, </w:t>
      </w:r>
      <w:r w:rsidR="00E55EBE">
        <w:rPr>
          <w:rFonts w:ascii="Times New Roman" w:hAnsi="Times New Roman"/>
          <w:iCs/>
          <w:sz w:val="24"/>
          <w:szCs w:val="24"/>
          <w:lang w:eastAsia="ru-RU"/>
        </w:rPr>
        <w:t>у которых наблюдался частичный ответ.</w:t>
      </w:r>
    </w:p>
    <w:p w14:paraId="1E86550F" w14:textId="77777777" w:rsidR="004A5126" w:rsidRDefault="00E55EBE" w:rsidP="004A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E55EBE">
        <w:rPr>
          <w:rFonts w:ascii="Times New Roman" w:hAnsi="Times New Roman"/>
          <w:iCs/>
          <w:sz w:val="24"/>
          <w:szCs w:val="24"/>
          <w:lang w:eastAsia="ru-RU"/>
        </w:rPr>
        <w:t>Апостериорный анализ подгруппы по максимальному размеру опухоли показал эффект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от лечения В</w:t>
      </w:r>
      <w:r w:rsidR="004A5126"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БП в пользу сорафениба по сравнению с плацебо </w:t>
      </w:r>
      <w:r w:rsidRPr="00E55EBE">
        <w:rPr>
          <w:rFonts w:ascii="Times New Roman" w:hAnsi="Times New Roman"/>
          <w:iCs/>
          <w:sz w:val="24"/>
          <w:szCs w:val="24"/>
          <w:lang w:eastAsia="ru-RU"/>
        </w:rPr>
        <w:t>ля пациентов с максимальным размером опухоли 1,5 см или больше (</w:t>
      </w:r>
      <w:r>
        <w:rPr>
          <w:rFonts w:ascii="Times New Roman" w:hAnsi="Times New Roman"/>
          <w:iCs/>
          <w:sz w:val="24"/>
          <w:szCs w:val="24"/>
          <w:lang w:eastAsia="ru-RU"/>
        </w:rPr>
        <w:t>КР</w:t>
      </w:r>
      <w:r w:rsidRPr="00E55EBE">
        <w:rPr>
          <w:rFonts w:ascii="Times New Roman" w:hAnsi="Times New Roman"/>
          <w:iCs/>
          <w:sz w:val="24"/>
          <w:szCs w:val="24"/>
          <w:lang w:eastAsia="ru-RU"/>
        </w:rPr>
        <w:t xml:space="preserve"> 0,54 (95% ДИ: 0,41 - 0,71))</w:t>
      </w:r>
      <w:r>
        <w:rPr>
          <w:rFonts w:ascii="Times New Roman" w:hAnsi="Times New Roman"/>
          <w:iCs/>
          <w:sz w:val="24"/>
          <w:szCs w:val="24"/>
          <w:lang w:eastAsia="ru-RU"/>
        </w:rPr>
        <w:t>,</w:t>
      </w:r>
      <w:r w:rsidR="004A5126" w:rsidRPr="004A5126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E55EBE">
        <w:rPr>
          <w:rFonts w:ascii="Times New Roman" w:hAnsi="Times New Roman"/>
          <w:iCs/>
          <w:sz w:val="24"/>
          <w:szCs w:val="24"/>
          <w:lang w:eastAsia="ru-RU"/>
        </w:rPr>
        <w:t xml:space="preserve">тогда как </w:t>
      </w:r>
      <w:r>
        <w:rPr>
          <w:rFonts w:ascii="Times New Roman" w:hAnsi="Times New Roman"/>
          <w:iCs/>
          <w:sz w:val="24"/>
          <w:szCs w:val="24"/>
          <w:lang w:eastAsia="ru-RU"/>
        </w:rPr>
        <w:t>минимальный</w:t>
      </w:r>
      <w:r w:rsidRPr="00E55EBE">
        <w:rPr>
          <w:rFonts w:ascii="Times New Roman" w:hAnsi="Times New Roman"/>
          <w:iCs/>
          <w:sz w:val="24"/>
          <w:szCs w:val="24"/>
          <w:lang w:eastAsia="ru-RU"/>
        </w:rPr>
        <w:t xml:space="preserve"> эффект был отмечен у пациентов с максимальным размером опухоли менее 1,5 см (</w:t>
      </w:r>
      <w:r>
        <w:rPr>
          <w:rFonts w:ascii="Times New Roman" w:hAnsi="Times New Roman"/>
          <w:iCs/>
          <w:sz w:val="24"/>
          <w:szCs w:val="24"/>
          <w:lang w:eastAsia="ru-RU"/>
        </w:rPr>
        <w:t>КР</w:t>
      </w:r>
      <w:r w:rsidRPr="00E55EBE">
        <w:rPr>
          <w:rFonts w:ascii="Times New Roman" w:hAnsi="Times New Roman"/>
          <w:iCs/>
          <w:sz w:val="24"/>
          <w:szCs w:val="24"/>
          <w:lang w:eastAsia="ru-RU"/>
        </w:rPr>
        <w:t xml:space="preserve"> 0,87 (95% ДИ: 0,40 - 1,89)).</w:t>
      </w:r>
    </w:p>
    <w:p w14:paraId="2279E636" w14:textId="77777777" w:rsidR="004530DE" w:rsidRPr="004A5126" w:rsidRDefault="004530DE" w:rsidP="004A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30DE">
        <w:rPr>
          <w:rFonts w:ascii="Times New Roman" w:hAnsi="Times New Roman"/>
          <w:sz w:val="24"/>
          <w:szCs w:val="24"/>
          <w:lang w:eastAsia="ru-RU"/>
        </w:rPr>
        <w:t xml:space="preserve">Апостериорный анализ подгруппы по симптомам </w:t>
      </w:r>
      <w:r>
        <w:rPr>
          <w:rFonts w:ascii="Times New Roman" w:hAnsi="Times New Roman"/>
          <w:sz w:val="24"/>
          <w:szCs w:val="24"/>
          <w:lang w:eastAsia="ru-RU"/>
        </w:rPr>
        <w:t>рака</w:t>
      </w:r>
      <w:r w:rsidRPr="004530DE">
        <w:rPr>
          <w:rFonts w:ascii="Times New Roman" w:hAnsi="Times New Roman"/>
          <w:sz w:val="24"/>
          <w:szCs w:val="24"/>
          <w:lang w:eastAsia="ru-RU"/>
        </w:rPr>
        <w:t xml:space="preserve"> щитовидной железы на исходном уровне показал лечебный эффект </w:t>
      </w:r>
      <w:r>
        <w:rPr>
          <w:rFonts w:ascii="Times New Roman" w:hAnsi="Times New Roman"/>
          <w:sz w:val="24"/>
          <w:szCs w:val="24"/>
          <w:lang w:eastAsia="ru-RU"/>
        </w:rPr>
        <w:t>для</w:t>
      </w:r>
      <w:r w:rsidRPr="004530DE">
        <w:rPr>
          <w:rFonts w:ascii="Times New Roman" w:hAnsi="Times New Roman"/>
          <w:sz w:val="24"/>
          <w:szCs w:val="24"/>
          <w:lang w:eastAsia="ru-RU"/>
        </w:rPr>
        <w:t xml:space="preserve"> ВБП в пользу сорафениба по сравнению с </w:t>
      </w:r>
      <w:r>
        <w:rPr>
          <w:rFonts w:ascii="Times New Roman" w:hAnsi="Times New Roman"/>
          <w:sz w:val="24"/>
          <w:szCs w:val="24"/>
          <w:lang w:eastAsia="ru-RU"/>
        </w:rPr>
        <w:t xml:space="preserve">теми, кто принимал </w:t>
      </w:r>
      <w:r w:rsidRPr="004530DE">
        <w:rPr>
          <w:rFonts w:ascii="Times New Roman" w:hAnsi="Times New Roman"/>
          <w:sz w:val="24"/>
          <w:szCs w:val="24"/>
          <w:lang w:eastAsia="ru-RU"/>
        </w:rPr>
        <w:t xml:space="preserve">плацебо как для симптоматических, так и для бессимптомных пациентов. </w:t>
      </w:r>
      <w:r>
        <w:rPr>
          <w:rFonts w:ascii="Times New Roman" w:hAnsi="Times New Roman"/>
          <w:sz w:val="24"/>
          <w:szCs w:val="24"/>
          <w:lang w:eastAsia="ru-RU"/>
        </w:rPr>
        <w:t>КР</w:t>
      </w:r>
      <w:r w:rsidRPr="004530DE">
        <w:rPr>
          <w:rFonts w:ascii="Times New Roman" w:hAnsi="Times New Roman"/>
          <w:sz w:val="24"/>
          <w:szCs w:val="24"/>
          <w:lang w:eastAsia="ru-RU"/>
        </w:rPr>
        <w:t xml:space="preserve"> выживаемости без прогрессирования составил 0,39 (95% ДИ: 0,21–0,72) для пациентов с симптомами на исходном уровне и 0,60 (95% ДИ: 0,45–0,81) для пациентов без симптомов на исходном уровне.</w:t>
      </w:r>
    </w:p>
    <w:p w14:paraId="39815D37" w14:textId="77777777" w:rsidR="00D161FD" w:rsidRPr="00D161FD" w:rsidRDefault="00D161FD" w:rsidP="00D16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D161FD">
        <w:rPr>
          <w:rFonts w:ascii="Times New Roman" w:hAnsi="Times New Roman"/>
          <w:i/>
          <w:iCs/>
          <w:sz w:val="24"/>
          <w:szCs w:val="24"/>
          <w:lang w:eastAsia="ru-RU"/>
        </w:rPr>
        <w:t>Удлинение интервала QT</w:t>
      </w:r>
    </w:p>
    <w:p w14:paraId="32E1D847" w14:textId="77777777" w:rsidR="00D161FD" w:rsidRPr="00D161FD" w:rsidRDefault="00D161FD" w:rsidP="00D16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161FD">
        <w:rPr>
          <w:rFonts w:ascii="Times New Roman" w:hAnsi="Times New Roman"/>
          <w:iCs/>
          <w:sz w:val="24"/>
          <w:szCs w:val="24"/>
          <w:lang w:eastAsia="ru-RU"/>
        </w:rPr>
        <w:t>В клиническом фармакологическом исследовании измерения QT/QTc были зарегистрированы у 31 пациента в исходном состоянии (до лечения) и после лечения. После одного 28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161FD">
        <w:rPr>
          <w:rFonts w:ascii="Times New Roman" w:hAnsi="Times New Roman"/>
          <w:iCs/>
          <w:sz w:val="24"/>
          <w:szCs w:val="24"/>
          <w:lang w:eastAsia="ru-RU"/>
        </w:rPr>
        <w:t>дневного цикла лечения, в момент максимальной концентрации сорафениба, QTcB был продлен на 4±19 мс, а QTcF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161FD">
        <w:rPr>
          <w:rFonts w:ascii="Times New Roman" w:hAnsi="Times New Roman"/>
          <w:iCs/>
          <w:sz w:val="24"/>
          <w:szCs w:val="24"/>
          <w:lang w:eastAsia="ru-RU"/>
        </w:rPr>
        <w:t xml:space="preserve">на 9±18 мс по сравнению с плацебо-терапией в исходном состоянии. Ни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у </w:t>
      </w:r>
      <w:r w:rsidRPr="00D161FD">
        <w:rPr>
          <w:rFonts w:ascii="Times New Roman" w:hAnsi="Times New Roman"/>
          <w:iCs/>
          <w:sz w:val="24"/>
          <w:szCs w:val="24"/>
          <w:lang w:eastAsia="ru-RU"/>
        </w:rPr>
        <w:t>од</w:t>
      </w:r>
      <w:r>
        <w:rPr>
          <w:rFonts w:ascii="Times New Roman" w:hAnsi="Times New Roman"/>
          <w:iCs/>
          <w:sz w:val="24"/>
          <w:szCs w:val="24"/>
          <w:lang w:eastAsia="ru-RU"/>
        </w:rPr>
        <w:t>ного из</w:t>
      </w:r>
      <w:r w:rsidRPr="00D161FD">
        <w:rPr>
          <w:rFonts w:ascii="Times New Roman" w:hAnsi="Times New Roman"/>
          <w:iCs/>
          <w:sz w:val="24"/>
          <w:szCs w:val="24"/>
          <w:lang w:eastAsia="ru-RU"/>
        </w:rPr>
        <w:t xml:space="preserve"> субъект</w:t>
      </w:r>
      <w:r>
        <w:rPr>
          <w:rFonts w:ascii="Times New Roman" w:hAnsi="Times New Roman"/>
          <w:iCs/>
          <w:sz w:val="24"/>
          <w:szCs w:val="24"/>
          <w:lang w:eastAsia="ru-RU"/>
        </w:rPr>
        <w:t>ов</w:t>
      </w:r>
      <w:r w:rsidRPr="00D161FD">
        <w:rPr>
          <w:rFonts w:ascii="Times New Roman" w:hAnsi="Times New Roman"/>
          <w:iCs/>
          <w:sz w:val="24"/>
          <w:szCs w:val="24"/>
          <w:lang w:eastAsia="ru-RU"/>
        </w:rPr>
        <w:t xml:space="preserve"> не </w:t>
      </w:r>
      <w:r>
        <w:rPr>
          <w:rFonts w:ascii="Times New Roman" w:hAnsi="Times New Roman"/>
          <w:iCs/>
          <w:sz w:val="24"/>
          <w:szCs w:val="24"/>
          <w:lang w:eastAsia="ru-RU"/>
        </w:rPr>
        <w:t>наблюдалось</w:t>
      </w:r>
      <w:r w:rsidRPr="00D161FD">
        <w:rPr>
          <w:rFonts w:ascii="Times New Roman" w:hAnsi="Times New Roman"/>
          <w:iCs/>
          <w:sz w:val="24"/>
          <w:szCs w:val="24"/>
          <w:lang w:eastAsia="ru-RU"/>
        </w:rPr>
        <w:t xml:space="preserve"> QTcB или QTcF &gt;500 мс во время посттерапевтического ЭКГ-мониторинга (см. раздел 4.4).</w:t>
      </w:r>
    </w:p>
    <w:p w14:paraId="1D32F8B5" w14:textId="77777777" w:rsidR="006C6625" w:rsidRPr="006C6625" w:rsidRDefault="006C6625" w:rsidP="006C6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6C6625">
        <w:rPr>
          <w:rFonts w:ascii="Times New Roman" w:hAnsi="Times New Roman"/>
          <w:i/>
          <w:iCs/>
          <w:sz w:val="24"/>
          <w:szCs w:val="24"/>
          <w:lang w:eastAsia="ru-RU"/>
        </w:rPr>
        <w:t>Дет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и</w:t>
      </w:r>
    </w:p>
    <w:p w14:paraId="477BF439" w14:textId="77777777" w:rsidR="00646B62" w:rsidRPr="00441C4F" w:rsidRDefault="006C6625" w:rsidP="00646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C6625">
        <w:rPr>
          <w:rFonts w:ascii="Times New Roman" w:hAnsi="Times New Roman"/>
          <w:iCs/>
          <w:sz w:val="24"/>
          <w:szCs w:val="24"/>
          <w:lang w:eastAsia="ru-RU"/>
        </w:rPr>
        <w:t>Европейское агентство по лекарственным средствам отказалось от обяз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ательства </w:t>
      </w:r>
      <w:r w:rsidRPr="006C6625">
        <w:rPr>
          <w:rFonts w:ascii="Times New Roman" w:hAnsi="Times New Roman"/>
          <w:iCs/>
          <w:sz w:val="24"/>
          <w:szCs w:val="24"/>
          <w:lang w:eastAsia="ru-RU"/>
        </w:rPr>
        <w:t>пред</w:t>
      </w:r>
      <w:r>
        <w:rPr>
          <w:rFonts w:ascii="Times New Roman" w:hAnsi="Times New Roman"/>
          <w:iCs/>
          <w:sz w:val="24"/>
          <w:szCs w:val="24"/>
          <w:lang w:eastAsia="ru-RU"/>
        </w:rPr>
        <w:t>о</w:t>
      </w:r>
      <w:r w:rsidRPr="006C6625">
        <w:rPr>
          <w:rFonts w:ascii="Times New Roman" w:hAnsi="Times New Roman"/>
          <w:iCs/>
          <w:sz w:val="24"/>
          <w:szCs w:val="24"/>
          <w:lang w:eastAsia="ru-RU"/>
        </w:rPr>
        <w:t xml:space="preserve">ставлять результаты исследований во всех подгруппах детского населения </w:t>
      </w:r>
      <w:r>
        <w:rPr>
          <w:rFonts w:ascii="Times New Roman" w:hAnsi="Times New Roman"/>
          <w:iCs/>
          <w:sz w:val="24"/>
          <w:szCs w:val="24"/>
          <w:lang w:eastAsia="ru-RU"/>
        </w:rPr>
        <w:t>касательно</w:t>
      </w:r>
      <w:r w:rsidRPr="006C6625">
        <w:rPr>
          <w:rFonts w:ascii="Times New Roman" w:hAnsi="Times New Roman"/>
          <w:iCs/>
          <w:sz w:val="24"/>
          <w:szCs w:val="24"/>
          <w:lang w:eastAsia="ru-RU"/>
        </w:rPr>
        <w:t xml:space="preserve"> рак</w:t>
      </w:r>
      <w:r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Pr="006C6625">
        <w:rPr>
          <w:rFonts w:ascii="Times New Roman" w:hAnsi="Times New Roman"/>
          <w:iCs/>
          <w:sz w:val="24"/>
          <w:szCs w:val="24"/>
          <w:lang w:eastAsia="ru-RU"/>
        </w:rPr>
        <w:t xml:space="preserve"> почек и почечных лоханок (за исключением нефробластомы, нефробластоматоза, светлоклеточной саркомы, мезобластной нефромы, медуллярного рака почек и рабдоидной опухоли почек), а также </w:t>
      </w:r>
      <w:r w:rsidR="002E32B0">
        <w:rPr>
          <w:rFonts w:ascii="Times New Roman" w:hAnsi="Times New Roman"/>
          <w:iCs/>
          <w:sz w:val="24"/>
          <w:szCs w:val="24"/>
          <w:lang w:eastAsia="ru-RU"/>
        </w:rPr>
        <w:t>касательно</w:t>
      </w:r>
      <w:r w:rsidRPr="006C6625">
        <w:rPr>
          <w:rFonts w:ascii="Times New Roman" w:hAnsi="Times New Roman"/>
          <w:iCs/>
          <w:sz w:val="24"/>
          <w:szCs w:val="24"/>
          <w:lang w:eastAsia="ru-RU"/>
        </w:rPr>
        <w:t xml:space="preserve"> карцином</w:t>
      </w:r>
      <w:r w:rsidR="002E32B0">
        <w:rPr>
          <w:rFonts w:ascii="Times New Roman" w:hAnsi="Times New Roman"/>
          <w:iCs/>
          <w:sz w:val="24"/>
          <w:szCs w:val="24"/>
          <w:lang w:eastAsia="ru-RU"/>
        </w:rPr>
        <w:t>ы</w:t>
      </w:r>
      <w:r w:rsidRPr="006C6625">
        <w:rPr>
          <w:rFonts w:ascii="Times New Roman" w:hAnsi="Times New Roman"/>
          <w:iCs/>
          <w:sz w:val="24"/>
          <w:szCs w:val="24"/>
          <w:lang w:eastAsia="ru-RU"/>
        </w:rPr>
        <w:t xml:space="preserve"> печени и внутрипеченочных желчных протоков (за исключением гепатобластомы) и дифференцированно</w:t>
      </w:r>
      <w:r w:rsidR="002E32B0">
        <w:rPr>
          <w:rFonts w:ascii="Times New Roman" w:hAnsi="Times New Roman"/>
          <w:iCs/>
          <w:sz w:val="24"/>
          <w:szCs w:val="24"/>
          <w:lang w:eastAsia="ru-RU"/>
        </w:rPr>
        <w:t>го</w:t>
      </w:r>
      <w:r w:rsidRPr="006C6625">
        <w:rPr>
          <w:rFonts w:ascii="Times New Roman" w:hAnsi="Times New Roman"/>
          <w:iCs/>
          <w:sz w:val="24"/>
          <w:szCs w:val="24"/>
          <w:lang w:eastAsia="ru-RU"/>
        </w:rPr>
        <w:t xml:space="preserve"> рак</w:t>
      </w:r>
      <w:r w:rsidR="002E32B0"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Pr="006C6625">
        <w:rPr>
          <w:rFonts w:ascii="Times New Roman" w:hAnsi="Times New Roman"/>
          <w:iCs/>
          <w:sz w:val="24"/>
          <w:szCs w:val="24"/>
          <w:lang w:eastAsia="ru-RU"/>
        </w:rPr>
        <w:t xml:space="preserve"> щитовидной железы (см. раздел 4.2 для получения информации о </w:t>
      </w:r>
      <w:r w:rsidR="002E32B0">
        <w:rPr>
          <w:rFonts w:ascii="Times New Roman" w:hAnsi="Times New Roman"/>
          <w:iCs/>
          <w:sz w:val="24"/>
          <w:szCs w:val="24"/>
          <w:lang w:eastAsia="ru-RU"/>
        </w:rPr>
        <w:t>применении у детей</w:t>
      </w:r>
      <w:r w:rsidRPr="006C6625">
        <w:rPr>
          <w:rFonts w:ascii="Times New Roman" w:hAnsi="Times New Roman"/>
          <w:iCs/>
          <w:sz w:val="24"/>
          <w:szCs w:val="24"/>
          <w:lang w:eastAsia="ru-RU"/>
        </w:rPr>
        <w:t>).</w:t>
      </w:r>
    </w:p>
    <w:p w14:paraId="7954F895" w14:textId="77777777" w:rsidR="00C153F2" w:rsidRPr="008C2E13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C2E13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8C2E13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4BD17014" w14:textId="77777777" w:rsidR="005E71D6" w:rsidRPr="005E71D6" w:rsidRDefault="005E71D6" w:rsidP="005E7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5E71D6">
        <w:rPr>
          <w:rFonts w:ascii="Times New Roman" w:hAnsi="Times New Roman"/>
          <w:i/>
          <w:sz w:val="24"/>
          <w:szCs w:val="24"/>
          <w:lang w:bidi="ru-RU"/>
        </w:rPr>
        <w:t>Абсорбция и распределение</w:t>
      </w:r>
    </w:p>
    <w:p w14:paraId="3CC58429" w14:textId="77777777" w:rsidR="005E71D6" w:rsidRPr="005E71D6" w:rsidRDefault="005E71D6" w:rsidP="005E7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5E71D6">
        <w:rPr>
          <w:rFonts w:ascii="Times New Roman" w:hAnsi="Times New Roman"/>
          <w:iCs/>
          <w:sz w:val="24"/>
          <w:szCs w:val="24"/>
          <w:lang w:bidi="ru-RU"/>
        </w:rPr>
        <w:t xml:space="preserve">После приема таблеток сорафениба его средняя относительная биодоступность составляет 38-49 %. Абсолютная биодоступность не известна. После приема внутрь сорафениб достигает максимальной концентрации в плазме крови примерно через 3 часа. При </w:t>
      </w:r>
      <w:r>
        <w:rPr>
          <w:rFonts w:ascii="Times New Roman" w:hAnsi="Times New Roman"/>
          <w:iCs/>
          <w:sz w:val="24"/>
          <w:szCs w:val="24"/>
          <w:lang w:bidi="ru-RU"/>
        </w:rPr>
        <w:t>приеме с пищей с высоким содержанием жиров,</w:t>
      </w:r>
      <w:r w:rsidRPr="005E71D6">
        <w:rPr>
          <w:rFonts w:ascii="Times New Roman" w:hAnsi="Times New Roman"/>
          <w:iCs/>
          <w:sz w:val="24"/>
          <w:szCs w:val="24"/>
          <w:lang w:bidi="ru-RU"/>
        </w:rPr>
        <w:t xml:space="preserve"> всасывание сорафениба снижалось на 30 % по сравнению с приемом натощак.</w:t>
      </w:r>
    </w:p>
    <w:p w14:paraId="006BEB05" w14:textId="77777777" w:rsidR="005E71D6" w:rsidRPr="005E71D6" w:rsidRDefault="005E71D6" w:rsidP="005E7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5E71D6">
        <w:rPr>
          <w:rFonts w:ascii="Times New Roman" w:hAnsi="Times New Roman"/>
          <w:iCs/>
          <w:sz w:val="24"/>
          <w:szCs w:val="24"/>
          <w:lang w:bidi="ru-RU"/>
        </w:rPr>
        <w:t>Средние значения C</w:t>
      </w:r>
      <w:r w:rsidRPr="005E71D6">
        <w:rPr>
          <w:rFonts w:ascii="Times New Roman" w:hAnsi="Times New Roman"/>
          <w:iCs/>
          <w:sz w:val="24"/>
          <w:szCs w:val="24"/>
          <w:vertAlign w:val="subscript"/>
          <w:lang w:bidi="ru-RU"/>
        </w:rPr>
        <w:t>max</w:t>
      </w:r>
      <w:r w:rsidRPr="005E71D6">
        <w:rPr>
          <w:rFonts w:ascii="Times New Roman" w:hAnsi="Times New Roman"/>
          <w:iCs/>
          <w:sz w:val="24"/>
          <w:szCs w:val="24"/>
          <w:lang w:bidi="ru-RU"/>
        </w:rPr>
        <w:t xml:space="preserve"> и AUC увеличивались менее чем пропорционально </w:t>
      </w:r>
      <w:r>
        <w:rPr>
          <w:rFonts w:ascii="Times New Roman" w:hAnsi="Times New Roman"/>
          <w:iCs/>
          <w:sz w:val="24"/>
          <w:szCs w:val="24"/>
          <w:lang w:bidi="ru-RU"/>
        </w:rPr>
        <w:t>по сравнению с дозой 400 мг, принимаемой 2 раза в день</w:t>
      </w:r>
      <w:r w:rsidRPr="005E71D6">
        <w:rPr>
          <w:rFonts w:ascii="Times New Roman" w:hAnsi="Times New Roman"/>
          <w:iCs/>
          <w:sz w:val="24"/>
          <w:szCs w:val="24"/>
          <w:lang w:bidi="ru-RU"/>
        </w:rPr>
        <w:t xml:space="preserve">. </w:t>
      </w:r>
      <w:r w:rsidRPr="005E71D6">
        <w:rPr>
          <w:rFonts w:ascii="Times New Roman" w:hAnsi="Times New Roman"/>
          <w:i/>
          <w:sz w:val="24"/>
          <w:szCs w:val="24"/>
          <w:lang w:bidi="ru-RU"/>
        </w:rPr>
        <w:t>In vitro</w:t>
      </w:r>
      <w:r w:rsidRPr="005E71D6">
        <w:rPr>
          <w:rFonts w:ascii="Times New Roman" w:hAnsi="Times New Roman"/>
          <w:iCs/>
          <w:sz w:val="24"/>
          <w:szCs w:val="24"/>
          <w:lang w:bidi="ru-RU"/>
        </w:rPr>
        <w:t xml:space="preserve"> сорафениб</w:t>
      </w:r>
      <w:r>
        <w:rPr>
          <w:rFonts w:ascii="Times New Roman" w:hAnsi="Times New Roman"/>
          <w:iCs/>
          <w:sz w:val="24"/>
          <w:szCs w:val="24"/>
          <w:lang w:bidi="ru-RU"/>
        </w:rPr>
        <w:t xml:space="preserve"> связывается</w:t>
      </w:r>
      <w:r w:rsidRPr="005E71D6">
        <w:rPr>
          <w:rFonts w:ascii="Times New Roman" w:hAnsi="Times New Roman"/>
          <w:iCs/>
          <w:sz w:val="24"/>
          <w:szCs w:val="24"/>
          <w:lang w:bidi="ru-RU"/>
        </w:rPr>
        <w:t xml:space="preserve"> с белками плазмы крови человека </w:t>
      </w:r>
      <w:r>
        <w:rPr>
          <w:rFonts w:ascii="Times New Roman" w:hAnsi="Times New Roman"/>
          <w:iCs/>
          <w:sz w:val="24"/>
          <w:szCs w:val="24"/>
          <w:lang w:bidi="ru-RU"/>
        </w:rPr>
        <w:t>на</w:t>
      </w:r>
      <w:r w:rsidRPr="005E71D6">
        <w:rPr>
          <w:rFonts w:ascii="Times New Roman" w:hAnsi="Times New Roman"/>
          <w:iCs/>
          <w:sz w:val="24"/>
          <w:szCs w:val="24"/>
          <w:lang w:bidi="ru-RU"/>
        </w:rPr>
        <w:t xml:space="preserve"> 99,5 %.</w:t>
      </w:r>
    </w:p>
    <w:p w14:paraId="4723D54A" w14:textId="77777777" w:rsidR="005E71D6" w:rsidRPr="005E71D6" w:rsidRDefault="005E71D6" w:rsidP="005E7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5E71D6">
        <w:rPr>
          <w:rFonts w:ascii="Times New Roman" w:hAnsi="Times New Roman"/>
          <w:iCs/>
          <w:sz w:val="24"/>
          <w:szCs w:val="24"/>
          <w:lang w:bidi="ru-RU"/>
        </w:rPr>
        <w:t>Многократное введение сорафениба в течение 7 дней прив</w:t>
      </w:r>
      <w:r>
        <w:rPr>
          <w:rFonts w:ascii="Times New Roman" w:hAnsi="Times New Roman"/>
          <w:iCs/>
          <w:sz w:val="24"/>
          <w:szCs w:val="24"/>
          <w:lang w:bidi="ru-RU"/>
        </w:rPr>
        <w:t>ело</w:t>
      </w:r>
      <w:r w:rsidRPr="005E71D6">
        <w:rPr>
          <w:rFonts w:ascii="Times New Roman" w:hAnsi="Times New Roman"/>
          <w:iCs/>
          <w:sz w:val="24"/>
          <w:szCs w:val="24"/>
          <w:lang w:bidi="ru-RU"/>
        </w:rPr>
        <w:t xml:space="preserve"> к накоплению препарата в 2,5 - 7 раз по сравнению с однократным введением. Стационарные концентрации сорафениба в плазме достигаются в течение 7 дней</w:t>
      </w:r>
      <w:r>
        <w:rPr>
          <w:rFonts w:ascii="Times New Roman" w:hAnsi="Times New Roman"/>
          <w:iCs/>
          <w:sz w:val="24"/>
          <w:szCs w:val="24"/>
          <w:lang w:bidi="ru-RU"/>
        </w:rPr>
        <w:t xml:space="preserve"> </w:t>
      </w:r>
      <w:r w:rsidRPr="005E71D6">
        <w:rPr>
          <w:rFonts w:ascii="Times New Roman" w:hAnsi="Times New Roman"/>
          <w:iCs/>
          <w:sz w:val="24"/>
          <w:szCs w:val="24"/>
          <w:lang w:bidi="ru-RU"/>
        </w:rPr>
        <w:t>с соотношением пикового и минимального значений средних концентраций менее 2.</w:t>
      </w:r>
    </w:p>
    <w:p w14:paraId="44BA53BF" w14:textId="77777777" w:rsidR="005E71D6" w:rsidRDefault="005E71D6" w:rsidP="005E7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5E71D6">
        <w:rPr>
          <w:rFonts w:ascii="Times New Roman" w:hAnsi="Times New Roman"/>
          <w:iCs/>
          <w:sz w:val="24"/>
          <w:szCs w:val="24"/>
          <w:lang w:bidi="ru-RU"/>
        </w:rPr>
        <w:t>Стационарные концентрации сорафениба, вводимого в дозе 400 мг два раза в день, оценивались у пациентов с ДРЩЖ, ПКР и ГЦК. Самая высокая средняя концентрация наблюдалась у пациентов с ДРЩЖ (примерно в два раза больше, чем у пациентов с ПКР и ГЦК), хотя вариабельность была высокой для всех типов опухолей. Причина повышенной концентрации у пациентов с ДРЩЖ неизвестна.</w:t>
      </w:r>
    </w:p>
    <w:p w14:paraId="3B2B9FDA" w14:textId="77777777" w:rsidR="005E71D6" w:rsidRPr="005E71D6" w:rsidRDefault="005E71D6" w:rsidP="005E7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5E71D6">
        <w:rPr>
          <w:rFonts w:ascii="Times New Roman" w:hAnsi="Times New Roman"/>
          <w:i/>
          <w:iCs/>
          <w:sz w:val="24"/>
          <w:szCs w:val="24"/>
          <w:lang w:bidi="ru-RU"/>
        </w:rPr>
        <w:t>Биотрансформация и элиминация</w:t>
      </w:r>
    </w:p>
    <w:p w14:paraId="13A04364" w14:textId="77777777" w:rsidR="005E71D6" w:rsidRPr="005E71D6" w:rsidRDefault="005E71D6" w:rsidP="005E7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vertAlign w:val="superscript"/>
          <w:lang w:bidi="ru-RU"/>
        </w:rPr>
      </w:pPr>
      <w:r w:rsidRPr="005E71D6">
        <w:rPr>
          <w:rFonts w:ascii="Times New Roman" w:hAnsi="Times New Roman"/>
          <w:iCs/>
          <w:sz w:val="24"/>
          <w:szCs w:val="24"/>
          <w:lang w:bidi="ru-RU"/>
        </w:rPr>
        <w:t>Период полувыведения сорафениба составляет приблизительно 25-48 ч.</w:t>
      </w:r>
      <w:r>
        <w:rPr>
          <w:rFonts w:ascii="Times New Roman" w:hAnsi="Times New Roman"/>
          <w:iCs/>
          <w:sz w:val="24"/>
          <w:szCs w:val="24"/>
          <w:lang w:bidi="ru-RU"/>
        </w:rPr>
        <w:t xml:space="preserve"> </w:t>
      </w:r>
      <w:r w:rsidRPr="005E71D6">
        <w:rPr>
          <w:rFonts w:ascii="Times New Roman" w:hAnsi="Times New Roman"/>
          <w:iCs/>
          <w:sz w:val="24"/>
          <w:szCs w:val="24"/>
          <w:lang w:bidi="ru-RU"/>
        </w:rPr>
        <w:t xml:space="preserve">Метаболизм сорафениба осуществляется, главным образом, в печени путем окисления, </w:t>
      </w:r>
      <w:r w:rsidRPr="005E71D6">
        <w:rPr>
          <w:rFonts w:ascii="Times New Roman" w:hAnsi="Times New Roman"/>
          <w:iCs/>
          <w:sz w:val="24"/>
          <w:szCs w:val="24"/>
          <w:lang w:bidi="ru-RU"/>
        </w:rPr>
        <w:lastRenderedPageBreak/>
        <w:t xml:space="preserve">опосредованного изоферментом </w:t>
      </w:r>
      <w:r w:rsidRPr="005E71D6">
        <w:rPr>
          <w:rFonts w:ascii="Times New Roman" w:hAnsi="Times New Roman"/>
          <w:iCs/>
          <w:sz w:val="24"/>
          <w:szCs w:val="24"/>
          <w:lang w:val="en-US" w:bidi="ru-RU"/>
        </w:rPr>
        <w:t>CYP</w:t>
      </w:r>
      <w:r w:rsidRPr="005E71D6">
        <w:rPr>
          <w:rFonts w:ascii="Times New Roman" w:hAnsi="Times New Roman"/>
          <w:iCs/>
          <w:sz w:val="24"/>
          <w:szCs w:val="24"/>
          <w:lang w:bidi="ru-RU"/>
        </w:rPr>
        <w:t>3</w:t>
      </w:r>
      <w:r w:rsidRPr="005E71D6">
        <w:rPr>
          <w:rFonts w:ascii="Times New Roman" w:hAnsi="Times New Roman"/>
          <w:iCs/>
          <w:sz w:val="24"/>
          <w:szCs w:val="24"/>
          <w:lang w:val="en-US" w:bidi="ru-RU"/>
        </w:rPr>
        <w:t>A</w:t>
      </w:r>
      <w:r w:rsidRPr="005E71D6">
        <w:rPr>
          <w:rFonts w:ascii="Times New Roman" w:hAnsi="Times New Roman"/>
          <w:iCs/>
          <w:sz w:val="24"/>
          <w:szCs w:val="24"/>
          <w:lang w:bidi="ru-RU"/>
        </w:rPr>
        <w:t xml:space="preserve">4, а также </w:t>
      </w:r>
      <w:r>
        <w:rPr>
          <w:rFonts w:ascii="Times New Roman" w:hAnsi="Times New Roman"/>
          <w:iCs/>
          <w:sz w:val="24"/>
          <w:szCs w:val="24"/>
          <w:lang w:bidi="ru-RU"/>
        </w:rPr>
        <w:t>глюкуронизацией</w:t>
      </w:r>
      <w:r w:rsidRPr="005E71D6">
        <w:rPr>
          <w:rFonts w:ascii="Times New Roman" w:hAnsi="Times New Roman"/>
          <w:iCs/>
          <w:sz w:val="24"/>
          <w:szCs w:val="24"/>
          <w:lang w:bidi="ru-RU"/>
        </w:rPr>
        <w:t>, опосредованно</w:t>
      </w:r>
      <w:r>
        <w:rPr>
          <w:rFonts w:ascii="Times New Roman" w:hAnsi="Times New Roman"/>
          <w:iCs/>
          <w:sz w:val="24"/>
          <w:szCs w:val="24"/>
          <w:lang w:bidi="ru-RU"/>
        </w:rPr>
        <w:t>й</w:t>
      </w:r>
      <w:r w:rsidRPr="005E71D6">
        <w:rPr>
          <w:rFonts w:ascii="Times New Roman" w:hAnsi="Times New Roman"/>
          <w:iCs/>
          <w:sz w:val="24"/>
          <w:szCs w:val="24"/>
          <w:lang w:bidi="ru-RU"/>
        </w:rPr>
        <w:t xml:space="preserve"> </w:t>
      </w:r>
      <w:r w:rsidRPr="005E71D6">
        <w:rPr>
          <w:rFonts w:ascii="Times New Roman" w:hAnsi="Times New Roman"/>
          <w:iCs/>
          <w:sz w:val="24"/>
          <w:szCs w:val="24"/>
          <w:lang w:val="en-US" w:bidi="ru-RU"/>
        </w:rPr>
        <w:t>UGT</w:t>
      </w:r>
      <w:r w:rsidRPr="005E71D6">
        <w:rPr>
          <w:rFonts w:ascii="Times New Roman" w:hAnsi="Times New Roman"/>
          <w:iCs/>
          <w:sz w:val="24"/>
          <w:szCs w:val="24"/>
          <w:lang w:bidi="ru-RU"/>
        </w:rPr>
        <w:t>1</w:t>
      </w:r>
      <w:r w:rsidRPr="005E71D6">
        <w:rPr>
          <w:rFonts w:ascii="Times New Roman" w:hAnsi="Times New Roman"/>
          <w:iCs/>
          <w:sz w:val="24"/>
          <w:szCs w:val="24"/>
          <w:lang w:val="en-US" w:bidi="ru-RU"/>
        </w:rPr>
        <w:t>A</w:t>
      </w:r>
      <w:r w:rsidRPr="005E71D6">
        <w:rPr>
          <w:rFonts w:ascii="Times New Roman" w:hAnsi="Times New Roman"/>
          <w:iCs/>
          <w:sz w:val="24"/>
          <w:szCs w:val="24"/>
          <w:lang w:bidi="ru-RU"/>
        </w:rPr>
        <w:t>9. Конъюгаты сорафениба могут расщепляться в желудочно-кишечном тракте благодаря активности бактериальной глюкуронидазы, что позволяет реабсорбироваться неконъюгированному лекарственному средству. Одновременное применение неомицина воздействует на этот процесс, уменьшая среднюю биодоступность сорафениба до 54%.</w:t>
      </w:r>
    </w:p>
    <w:p w14:paraId="06461AF7" w14:textId="77777777" w:rsidR="005E71D6" w:rsidRPr="005E71D6" w:rsidRDefault="00AF3610" w:rsidP="005E7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>
        <w:rPr>
          <w:rFonts w:ascii="Times New Roman" w:hAnsi="Times New Roman"/>
          <w:iCs/>
          <w:sz w:val="24"/>
          <w:szCs w:val="24"/>
          <w:lang w:bidi="ru-RU"/>
        </w:rPr>
        <w:t>В равновесном состоянии на долю</w:t>
      </w:r>
      <w:r w:rsidR="005E71D6" w:rsidRPr="005E71D6">
        <w:rPr>
          <w:rFonts w:ascii="Times New Roman" w:hAnsi="Times New Roman"/>
          <w:iCs/>
          <w:sz w:val="24"/>
          <w:szCs w:val="24"/>
          <w:lang w:bidi="ru-RU"/>
        </w:rPr>
        <w:t xml:space="preserve"> сорафениб</w:t>
      </w:r>
      <w:r>
        <w:rPr>
          <w:rFonts w:ascii="Times New Roman" w:hAnsi="Times New Roman"/>
          <w:iCs/>
          <w:sz w:val="24"/>
          <w:szCs w:val="24"/>
          <w:lang w:bidi="ru-RU"/>
        </w:rPr>
        <w:t>а</w:t>
      </w:r>
      <w:r w:rsidR="005E71D6" w:rsidRPr="005E71D6">
        <w:rPr>
          <w:rFonts w:ascii="Times New Roman" w:hAnsi="Times New Roman"/>
          <w:iCs/>
          <w:sz w:val="24"/>
          <w:szCs w:val="24"/>
          <w:lang w:bidi="ru-RU"/>
        </w:rPr>
        <w:t xml:space="preserve"> приходится приблизительно 70-85%</w:t>
      </w:r>
      <w:r>
        <w:rPr>
          <w:rFonts w:ascii="Times New Roman" w:hAnsi="Times New Roman"/>
          <w:iCs/>
          <w:sz w:val="24"/>
          <w:szCs w:val="24"/>
          <w:lang w:bidi="ru-RU"/>
        </w:rPr>
        <w:t xml:space="preserve"> от всех циркулирующих в крови аналитов</w:t>
      </w:r>
      <w:r w:rsidR="005E71D6" w:rsidRPr="005E71D6">
        <w:rPr>
          <w:rFonts w:ascii="Times New Roman" w:hAnsi="Times New Roman"/>
          <w:iCs/>
          <w:sz w:val="24"/>
          <w:szCs w:val="24"/>
          <w:lang w:bidi="ru-RU"/>
        </w:rPr>
        <w:t xml:space="preserve">. Идентифицировано 8 метаболитов сорафениба, 5 из </w:t>
      </w:r>
      <w:r>
        <w:rPr>
          <w:rFonts w:ascii="Times New Roman" w:hAnsi="Times New Roman"/>
          <w:iCs/>
          <w:sz w:val="24"/>
          <w:szCs w:val="24"/>
          <w:lang w:bidi="ru-RU"/>
        </w:rPr>
        <w:t>которых были</w:t>
      </w:r>
      <w:r w:rsidR="005E71D6" w:rsidRPr="005E71D6">
        <w:rPr>
          <w:rFonts w:ascii="Times New Roman" w:hAnsi="Times New Roman"/>
          <w:iCs/>
          <w:sz w:val="24"/>
          <w:szCs w:val="24"/>
          <w:lang w:bidi="ru-RU"/>
        </w:rPr>
        <w:t xml:space="preserve"> обнаружены в плазме. Основной циркулирующий в плазме метаболит сорафениба</w:t>
      </w:r>
      <w:r>
        <w:rPr>
          <w:rFonts w:ascii="Times New Roman" w:hAnsi="Times New Roman"/>
          <w:iCs/>
          <w:sz w:val="24"/>
          <w:szCs w:val="24"/>
          <w:lang w:bidi="ru-RU"/>
        </w:rPr>
        <w:t xml:space="preserve">, </w:t>
      </w:r>
      <w:r w:rsidR="005E71D6" w:rsidRPr="005E71D6">
        <w:rPr>
          <w:rFonts w:ascii="Times New Roman" w:hAnsi="Times New Roman"/>
          <w:iCs/>
          <w:sz w:val="24"/>
          <w:szCs w:val="24"/>
          <w:lang w:bidi="ru-RU"/>
        </w:rPr>
        <w:t xml:space="preserve">пиридин </w:t>
      </w:r>
      <w:r w:rsidR="005E71D6" w:rsidRPr="005E71D6">
        <w:rPr>
          <w:rFonts w:ascii="Times New Roman" w:hAnsi="Times New Roman"/>
          <w:iCs/>
          <w:sz w:val="24"/>
          <w:szCs w:val="24"/>
          <w:lang w:val="en-US" w:bidi="ru-RU"/>
        </w:rPr>
        <w:t>N</w:t>
      </w:r>
      <w:r w:rsidR="005E71D6" w:rsidRPr="005E71D6">
        <w:rPr>
          <w:rFonts w:ascii="Times New Roman" w:hAnsi="Times New Roman"/>
          <w:iCs/>
          <w:sz w:val="24"/>
          <w:szCs w:val="24"/>
          <w:lang w:bidi="ru-RU"/>
        </w:rPr>
        <w:t xml:space="preserve">-оксид, обладает </w:t>
      </w:r>
      <w:r w:rsidR="005E71D6" w:rsidRPr="005E71D6">
        <w:rPr>
          <w:rFonts w:ascii="Times New Roman" w:hAnsi="Times New Roman"/>
          <w:i/>
          <w:iCs/>
          <w:sz w:val="24"/>
          <w:szCs w:val="24"/>
          <w:lang w:val="en-US" w:bidi="ru-RU"/>
        </w:rPr>
        <w:t>in</w:t>
      </w:r>
      <w:r w:rsidR="005E71D6" w:rsidRPr="005E71D6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r w:rsidR="005E71D6" w:rsidRPr="005E71D6">
        <w:rPr>
          <w:rFonts w:ascii="Times New Roman" w:hAnsi="Times New Roman"/>
          <w:i/>
          <w:iCs/>
          <w:sz w:val="24"/>
          <w:szCs w:val="24"/>
          <w:lang w:val="en-US" w:bidi="ru-RU"/>
        </w:rPr>
        <w:t>vitro</w:t>
      </w:r>
      <w:r w:rsidR="005E71D6" w:rsidRPr="005E71D6">
        <w:rPr>
          <w:rFonts w:ascii="Times New Roman" w:hAnsi="Times New Roman"/>
          <w:iCs/>
          <w:sz w:val="24"/>
          <w:szCs w:val="24"/>
          <w:lang w:bidi="ru-RU"/>
        </w:rPr>
        <w:t xml:space="preserve"> активностью, сходной с активностью сорафениба, </w:t>
      </w:r>
      <w:r>
        <w:rPr>
          <w:rFonts w:ascii="Times New Roman" w:hAnsi="Times New Roman"/>
          <w:iCs/>
          <w:sz w:val="24"/>
          <w:szCs w:val="24"/>
          <w:lang w:bidi="ru-RU"/>
        </w:rPr>
        <w:t>на долю которого приходится</w:t>
      </w:r>
      <w:r w:rsidR="005E71D6" w:rsidRPr="005E71D6">
        <w:rPr>
          <w:rFonts w:ascii="Times New Roman" w:hAnsi="Times New Roman"/>
          <w:iCs/>
          <w:sz w:val="24"/>
          <w:szCs w:val="24"/>
          <w:lang w:bidi="ru-RU"/>
        </w:rPr>
        <w:t xml:space="preserve"> приблизительно 9-16%</w:t>
      </w:r>
      <w:r>
        <w:rPr>
          <w:rFonts w:ascii="Times New Roman" w:hAnsi="Times New Roman"/>
          <w:iCs/>
          <w:sz w:val="24"/>
          <w:szCs w:val="24"/>
          <w:lang w:bidi="ru-RU"/>
        </w:rPr>
        <w:t xml:space="preserve"> от всех метаболитов</w:t>
      </w:r>
      <w:r w:rsidR="005E71D6" w:rsidRPr="005E71D6">
        <w:rPr>
          <w:rFonts w:ascii="Times New Roman" w:hAnsi="Times New Roman"/>
          <w:iCs/>
          <w:sz w:val="24"/>
          <w:szCs w:val="24"/>
          <w:lang w:bidi="ru-RU"/>
        </w:rPr>
        <w:t>.</w:t>
      </w:r>
    </w:p>
    <w:p w14:paraId="4A851BB8" w14:textId="77777777" w:rsidR="005E71D6" w:rsidRPr="005E71D6" w:rsidRDefault="005E71D6" w:rsidP="005E7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5E71D6">
        <w:rPr>
          <w:rFonts w:ascii="Times New Roman" w:hAnsi="Times New Roman"/>
          <w:iCs/>
          <w:sz w:val="24"/>
          <w:szCs w:val="24"/>
          <w:lang w:bidi="ru-RU"/>
        </w:rPr>
        <w:t>После перорального при</w:t>
      </w:r>
      <w:r w:rsidR="00AF3610">
        <w:rPr>
          <w:rFonts w:ascii="Times New Roman" w:hAnsi="Times New Roman"/>
          <w:iCs/>
          <w:sz w:val="24"/>
          <w:szCs w:val="24"/>
          <w:lang w:bidi="ru-RU"/>
        </w:rPr>
        <w:t>ема</w:t>
      </w:r>
      <w:r w:rsidRPr="005E71D6">
        <w:rPr>
          <w:rFonts w:ascii="Times New Roman" w:hAnsi="Times New Roman"/>
          <w:iCs/>
          <w:sz w:val="24"/>
          <w:szCs w:val="24"/>
          <w:lang w:bidi="ru-RU"/>
        </w:rPr>
        <w:t xml:space="preserve"> </w:t>
      </w:r>
      <w:r w:rsidR="00AF3610">
        <w:rPr>
          <w:rFonts w:ascii="Times New Roman" w:hAnsi="Times New Roman"/>
          <w:iCs/>
          <w:sz w:val="24"/>
          <w:szCs w:val="24"/>
          <w:lang w:bidi="ru-RU"/>
        </w:rPr>
        <w:t xml:space="preserve">раствора </w:t>
      </w:r>
      <w:r w:rsidRPr="005E71D6">
        <w:rPr>
          <w:rFonts w:ascii="Times New Roman" w:hAnsi="Times New Roman"/>
          <w:iCs/>
          <w:sz w:val="24"/>
          <w:szCs w:val="24"/>
          <w:lang w:bidi="ru-RU"/>
        </w:rPr>
        <w:t>сорафениба в дозе 100 мг, 96% дозы выводилось в течение 14 дней, причем 77% дозы экскретировалось с калом, а 19</w:t>
      </w:r>
      <w:r w:rsidR="00653EE3" w:rsidRPr="005E71D6">
        <w:rPr>
          <w:rFonts w:ascii="Times New Roman" w:hAnsi="Times New Roman"/>
          <w:iCs/>
          <w:sz w:val="24"/>
          <w:szCs w:val="24"/>
          <w:lang w:bidi="ru-RU"/>
        </w:rPr>
        <w:t>% с</w:t>
      </w:r>
      <w:r w:rsidRPr="005E71D6">
        <w:rPr>
          <w:rFonts w:ascii="Times New Roman" w:hAnsi="Times New Roman"/>
          <w:iCs/>
          <w:sz w:val="24"/>
          <w:szCs w:val="24"/>
          <w:lang w:bidi="ru-RU"/>
        </w:rPr>
        <w:t xml:space="preserve"> мочой в виде глюкуронидированных метаболитов. 51 % сорафениба в неизмененном виде выводится с калом. </w:t>
      </w:r>
    </w:p>
    <w:p w14:paraId="6F853F34" w14:textId="77777777" w:rsidR="00653EE3" w:rsidRPr="00DD3394" w:rsidRDefault="00653EE3" w:rsidP="00653EE3">
      <w:pPr>
        <w:suppressAutoHyphens/>
        <w:spacing w:after="0" w:line="240" w:lineRule="auto"/>
        <w:jc w:val="both"/>
        <w:outlineLvl w:val="1"/>
        <w:rPr>
          <w:rFonts w:ascii="Times New Roman" w:hAnsi="Times New Roman"/>
          <w:i/>
          <w:color w:val="000000"/>
          <w:sz w:val="24"/>
          <w:szCs w:val="24"/>
        </w:rPr>
      </w:pPr>
      <w:r w:rsidRPr="00DD3394">
        <w:rPr>
          <w:rFonts w:ascii="Times New Roman" w:hAnsi="Times New Roman"/>
          <w:i/>
          <w:color w:val="000000"/>
          <w:sz w:val="24"/>
          <w:szCs w:val="24"/>
        </w:rPr>
        <w:t xml:space="preserve">Фармакокинетика </w:t>
      </w:r>
      <w:r>
        <w:rPr>
          <w:rFonts w:ascii="Times New Roman" w:hAnsi="Times New Roman"/>
          <w:i/>
          <w:color w:val="000000"/>
          <w:sz w:val="24"/>
          <w:szCs w:val="24"/>
        </w:rPr>
        <w:t>особых групп пациентов</w:t>
      </w:r>
    </w:p>
    <w:p w14:paraId="65D6942A" w14:textId="77777777" w:rsidR="00653EE3" w:rsidRPr="00DD3394" w:rsidRDefault="00653EE3" w:rsidP="00653EE3">
      <w:pPr>
        <w:suppressAutoHyphens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DD3394">
        <w:rPr>
          <w:rFonts w:ascii="Times New Roman" w:hAnsi="Times New Roman"/>
          <w:color w:val="000000"/>
          <w:sz w:val="24"/>
          <w:szCs w:val="24"/>
        </w:rPr>
        <w:t>Анализ демографических данных свидетельствует о том, что между фармакокинетикой и возрастом (до 65 лет), полом или массой тела не</w:t>
      </w:r>
      <w:r>
        <w:rPr>
          <w:rFonts w:ascii="Times New Roman" w:hAnsi="Times New Roman"/>
          <w:color w:val="000000"/>
          <w:sz w:val="24"/>
          <w:szCs w:val="24"/>
        </w:rPr>
        <w:t xml:space="preserve"> имеется взаимосвязи.</w:t>
      </w:r>
    </w:p>
    <w:p w14:paraId="73FF0D36" w14:textId="77777777" w:rsidR="00653EE3" w:rsidRPr="00DD3394" w:rsidRDefault="00653EE3" w:rsidP="00653EE3">
      <w:pPr>
        <w:suppressAutoHyphens/>
        <w:spacing w:after="0" w:line="240" w:lineRule="auto"/>
        <w:jc w:val="both"/>
        <w:outlineLvl w:val="1"/>
        <w:rPr>
          <w:rFonts w:ascii="Times New Roman" w:hAnsi="Times New Roman"/>
          <w:i/>
          <w:color w:val="000000"/>
          <w:sz w:val="24"/>
          <w:szCs w:val="24"/>
        </w:rPr>
      </w:pPr>
      <w:r w:rsidRPr="00DD3394">
        <w:rPr>
          <w:rFonts w:ascii="Times New Roman" w:hAnsi="Times New Roman"/>
          <w:i/>
          <w:color w:val="000000"/>
          <w:sz w:val="24"/>
          <w:szCs w:val="24"/>
        </w:rPr>
        <w:t>Дет</w:t>
      </w:r>
      <w:r>
        <w:rPr>
          <w:rFonts w:ascii="Times New Roman" w:hAnsi="Times New Roman"/>
          <w:i/>
          <w:color w:val="000000"/>
          <w:sz w:val="24"/>
          <w:szCs w:val="24"/>
        </w:rPr>
        <w:t>и</w:t>
      </w:r>
    </w:p>
    <w:p w14:paraId="1AAAB76C" w14:textId="77777777" w:rsidR="00653EE3" w:rsidRPr="00DD3394" w:rsidRDefault="00653EE3" w:rsidP="00653EE3">
      <w:pPr>
        <w:suppressAutoHyphens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DD3394">
        <w:rPr>
          <w:rFonts w:ascii="Times New Roman" w:hAnsi="Times New Roman"/>
          <w:color w:val="000000"/>
          <w:sz w:val="24"/>
          <w:szCs w:val="24"/>
        </w:rPr>
        <w:t>Никаких исследований по изучению фармакокинетики сорафениба у детей не проводилось.</w:t>
      </w:r>
    </w:p>
    <w:p w14:paraId="224B65CE" w14:textId="77777777" w:rsidR="00653EE3" w:rsidRPr="00DD3394" w:rsidRDefault="00653EE3" w:rsidP="00653EE3">
      <w:pPr>
        <w:suppressAutoHyphens/>
        <w:spacing w:after="0" w:line="240" w:lineRule="auto"/>
        <w:jc w:val="both"/>
        <w:outlineLvl w:val="1"/>
        <w:rPr>
          <w:rFonts w:ascii="Times New Roman" w:hAnsi="Times New Roman"/>
          <w:i/>
          <w:color w:val="000000"/>
          <w:sz w:val="24"/>
          <w:szCs w:val="24"/>
        </w:rPr>
      </w:pPr>
      <w:r w:rsidRPr="00DD3394">
        <w:rPr>
          <w:rFonts w:ascii="Times New Roman" w:hAnsi="Times New Roman"/>
          <w:i/>
          <w:color w:val="000000"/>
          <w:sz w:val="24"/>
          <w:szCs w:val="24"/>
        </w:rPr>
        <w:t>Раса</w:t>
      </w:r>
    </w:p>
    <w:p w14:paraId="418D52D2" w14:textId="77777777" w:rsidR="00653EE3" w:rsidRDefault="00653EE3" w:rsidP="00653EE3">
      <w:pPr>
        <w:suppressAutoHyphens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DD3394">
        <w:rPr>
          <w:rFonts w:ascii="Times New Roman" w:hAnsi="Times New Roman"/>
          <w:color w:val="000000"/>
          <w:sz w:val="24"/>
          <w:szCs w:val="24"/>
        </w:rPr>
        <w:t xml:space="preserve">Клинически значимых различий в фармакокинетике между кавказскими и азиатскими субъектами </w:t>
      </w:r>
      <w:r>
        <w:rPr>
          <w:rFonts w:ascii="Times New Roman" w:hAnsi="Times New Roman"/>
          <w:color w:val="000000"/>
          <w:sz w:val="24"/>
          <w:szCs w:val="24"/>
        </w:rPr>
        <w:t>не имеется</w:t>
      </w:r>
      <w:r w:rsidRPr="00DD3394">
        <w:rPr>
          <w:rFonts w:ascii="Times New Roman" w:hAnsi="Times New Roman"/>
          <w:color w:val="000000"/>
          <w:sz w:val="24"/>
          <w:szCs w:val="24"/>
        </w:rPr>
        <w:t>.</w:t>
      </w:r>
    </w:p>
    <w:p w14:paraId="65AF2AF6" w14:textId="77777777" w:rsidR="00653EE3" w:rsidRPr="00DD3394" w:rsidRDefault="00653EE3" w:rsidP="0065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D3394">
        <w:rPr>
          <w:rFonts w:ascii="Times New Roman" w:hAnsi="Times New Roman"/>
          <w:i/>
          <w:iCs/>
          <w:color w:val="000000"/>
          <w:sz w:val="24"/>
          <w:szCs w:val="24"/>
        </w:rPr>
        <w:t>Почечная недостаточность</w:t>
      </w:r>
      <w:r w:rsidRPr="00DD339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C10160F" w14:textId="77777777" w:rsidR="00653EE3" w:rsidRDefault="00653EE3" w:rsidP="00653E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3EE3">
        <w:rPr>
          <w:rFonts w:ascii="Times New Roman" w:hAnsi="Times New Roman"/>
          <w:color w:val="000000"/>
          <w:sz w:val="24"/>
          <w:szCs w:val="24"/>
        </w:rPr>
        <w:t>В четырех клинических ис</w:t>
      </w:r>
      <w:r>
        <w:rPr>
          <w:rFonts w:ascii="Times New Roman" w:hAnsi="Times New Roman"/>
          <w:color w:val="000000"/>
          <w:sz w:val="24"/>
          <w:szCs w:val="24"/>
        </w:rPr>
        <w:t xml:space="preserve">следованиях </w:t>
      </w:r>
      <w:r w:rsidRPr="00653EE3">
        <w:rPr>
          <w:rFonts w:ascii="Times New Roman" w:hAnsi="Times New Roman"/>
          <w:color w:val="000000"/>
          <w:sz w:val="24"/>
          <w:szCs w:val="24"/>
        </w:rPr>
        <w:t xml:space="preserve">фазы I стационарное воздействие сорафениба 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653EE3">
        <w:rPr>
          <w:rFonts w:ascii="Times New Roman" w:hAnsi="Times New Roman"/>
          <w:color w:val="000000"/>
          <w:sz w:val="24"/>
          <w:szCs w:val="24"/>
        </w:rPr>
        <w:t>пациент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 w:rsidRPr="00653EE3">
        <w:rPr>
          <w:rFonts w:ascii="Times New Roman" w:hAnsi="Times New Roman"/>
          <w:color w:val="000000"/>
          <w:sz w:val="24"/>
          <w:szCs w:val="24"/>
        </w:rPr>
        <w:t xml:space="preserve"> с легкой или умеренной почечной недостаточностью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0367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3EE3">
        <w:rPr>
          <w:rFonts w:ascii="Times New Roman" w:hAnsi="Times New Roman"/>
          <w:color w:val="000000"/>
          <w:sz w:val="24"/>
          <w:szCs w:val="24"/>
        </w:rPr>
        <w:t>пациент</w:t>
      </w:r>
      <w:r w:rsidR="009C0367">
        <w:rPr>
          <w:rFonts w:ascii="Times New Roman" w:hAnsi="Times New Roman"/>
          <w:color w:val="000000"/>
          <w:sz w:val="24"/>
          <w:szCs w:val="24"/>
        </w:rPr>
        <w:t>ов</w:t>
      </w:r>
      <w:r w:rsidRPr="00653EE3">
        <w:rPr>
          <w:rFonts w:ascii="Times New Roman" w:hAnsi="Times New Roman"/>
          <w:color w:val="000000"/>
          <w:sz w:val="24"/>
          <w:szCs w:val="24"/>
        </w:rPr>
        <w:t xml:space="preserve"> с нормальной функцией почек</w:t>
      </w:r>
      <w:r w:rsidR="009C03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0367" w:rsidRPr="00653EE3">
        <w:rPr>
          <w:rFonts w:ascii="Times New Roman" w:hAnsi="Times New Roman"/>
          <w:color w:val="000000"/>
          <w:sz w:val="24"/>
          <w:szCs w:val="24"/>
        </w:rPr>
        <w:t xml:space="preserve">было </w:t>
      </w:r>
      <w:r w:rsidR="009C0367">
        <w:rPr>
          <w:rFonts w:ascii="Times New Roman" w:hAnsi="Times New Roman"/>
          <w:color w:val="000000"/>
          <w:sz w:val="24"/>
          <w:szCs w:val="24"/>
        </w:rPr>
        <w:t>аналогичным</w:t>
      </w:r>
      <w:r w:rsidRPr="00653EE3">
        <w:rPr>
          <w:rFonts w:ascii="Times New Roman" w:hAnsi="Times New Roman"/>
          <w:color w:val="000000"/>
          <w:sz w:val="24"/>
          <w:szCs w:val="24"/>
        </w:rPr>
        <w:t xml:space="preserve">. В клиническом фармакологическом исследовании </w:t>
      </w:r>
      <w:r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Pr="00653EE3">
        <w:rPr>
          <w:rFonts w:ascii="Times New Roman" w:hAnsi="Times New Roman"/>
          <w:color w:val="000000"/>
          <w:sz w:val="24"/>
          <w:szCs w:val="24"/>
        </w:rPr>
        <w:t>разов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 w:rsidRPr="00653EE3">
        <w:rPr>
          <w:rFonts w:ascii="Times New Roman" w:hAnsi="Times New Roman"/>
          <w:color w:val="000000"/>
          <w:sz w:val="24"/>
          <w:szCs w:val="24"/>
        </w:rPr>
        <w:t xml:space="preserve"> доз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653EE3">
        <w:rPr>
          <w:rFonts w:ascii="Times New Roman" w:hAnsi="Times New Roman"/>
          <w:color w:val="000000"/>
          <w:sz w:val="24"/>
          <w:szCs w:val="24"/>
        </w:rPr>
        <w:t xml:space="preserve"> сорафениба 400 мг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3EE3">
        <w:rPr>
          <w:rFonts w:ascii="Times New Roman" w:hAnsi="Times New Roman"/>
          <w:color w:val="000000"/>
          <w:sz w:val="24"/>
          <w:szCs w:val="24"/>
        </w:rPr>
        <w:t xml:space="preserve">не наблюдалось </w:t>
      </w:r>
      <w:r>
        <w:rPr>
          <w:rFonts w:ascii="Times New Roman" w:hAnsi="Times New Roman"/>
          <w:color w:val="000000"/>
          <w:sz w:val="24"/>
          <w:szCs w:val="24"/>
        </w:rPr>
        <w:t>взаимосвязи</w:t>
      </w:r>
      <w:r w:rsidRPr="00653EE3">
        <w:rPr>
          <w:rFonts w:ascii="Times New Roman" w:hAnsi="Times New Roman"/>
          <w:color w:val="000000"/>
          <w:sz w:val="24"/>
          <w:szCs w:val="24"/>
        </w:rPr>
        <w:t xml:space="preserve"> между воздействием сорафениба и функцией почек у субъектов с нормальной функцией почек,</w:t>
      </w:r>
      <w:r w:rsidR="009C0367">
        <w:rPr>
          <w:rFonts w:ascii="Times New Roman" w:hAnsi="Times New Roman"/>
          <w:color w:val="000000"/>
          <w:sz w:val="24"/>
          <w:szCs w:val="24"/>
        </w:rPr>
        <w:t xml:space="preserve"> а также</w:t>
      </w:r>
      <w:r w:rsidRPr="00653E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0367">
        <w:rPr>
          <w:rFonts w:ascii="Times New Roman" w:hAnsi="Times New Roman"/>
          <w:color w:val="000000"/>
          <w:sz w:val="24"/>
          <w:szCs w:val="24"/>
        </w:rPr>
        <w:t xml:space="preserve">пациентов с </w:t>
      </w:r>
      <w:r w:rsidRPr="00653EE3">
        <w:rPr>
          <w:rFonts w:ascii="Times New Roman" w:hAnsi="Times New Roman"/>
          <w:color w:val="000000"/>
          <w:sz w:val="24"/>
          <w:szCs w:val="24"/>
        </w:rPr>
        <w:t xml:space="preserve">легким, умеренным или тяжелым нарушением функции почек. Нет данных о пациентах, </w:t>
      </w:r>
      <w:r w:rsidR="009C0367">
        <w:rPr>
          <w:rFonts w:ascii="Times New Roman" w:hAnsi="Times New Roman"/>
          <w:color w:val="000000"/>
          <w:sz w:val="24"/>
          <w:szCs w:val="24"/>
        </w:rPr>
        <w:t>находящихся на</w:t>
      </w:r>
      <w:r w:rsidRPr="00653EE3">
        <w:rPr>
          <w:rFonts w:ascii="Times New Roman" w:hAnsi="Times New Roman"/>
          <w:color w:val="000000"/>
          <w:sz w:val="24"/>
          <w:szCs w:val="24"/>
        </w:rPr>
        <w:t xml:space="preserve"> диализе.</w:t>
      </w:r>
    </w:p>
    <w:p w14:paraId="602AE622" w14:textId="77777777" w:rsidR="00653EE3" w:rsidRPr="00DD3394" w:rsidRDefault="00653EE3" w:rsidP="00653EE3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D3394">
        <w:rPr>
          <w:rFonts w:ascii="Times New Roman" w:hAnsi="Times New Roman"/>
          <w:i/>
          <w:iCs/>
          <w:color w:val="000000"/>
          <w:sz w:val="24"/>
          <w:szCs w:val="24"/>
        </w:rPr>
        <w:t xml:space="preserve">Печеночная недостаточность </w:t>
      </w:r>
    </w:p>
    <w:p w14:paraId="68CB9864" w14:textId="77777777" w:rsidR="005E71D6" w:rsidRDefault="009C0367" w:rsidP="005E7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0367">
        <w:rPr>
          <w:rFonts w:ascii="Times New Roman" w:hAnsi="Times New Roman"/>
          <w:color w:val="000000"/>
          <w:sz w:val="24"/>
          <w:szCs w:val="24"/>
        </w:rPr>
        <w:t xml:space="preserve">У пациентов с гепатоцеллюлярной карциномой (ГЦК) с печеночной недостаточностью </w:t>
      </w:r>
      <w:r>
        <w:rPr>
          <w:rFonts w:ascii="Times New Roman" w:hAnsi="Times New Roman"/>
          <w:color w:val="000000"/>
          <w:sz w:val="24"/>
          <w:szCs w:val="24"/>
        </w:rPr>
        <w:t xml:space="preserve">стадии </w:t>
      </w:r>
      <w:r w:rsidRPr="009C0367">
        <w:rPr>
          <w:rFonts w:ascii="Times New Roman" w:hAnsi="Times New Roman"/>
          <w:color w:val="000000"/>
          <w:sz w:val="24"/>
          <w:szCs w:val="24"/>
        </w:rPr>
        <w:t>A или B (от легкой до умеренной) по шкале Чайлд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9C0367">
        <w:rPr>
          <w:rFonts w:ascii="Times New Roman" w:hAnsi="Times New Roman"/>
          <w:color w:val="000000"/>
          <w:sz w:val="24"/>
          <w:szCs w:val="24"/>
        </w:rPr>
        <w:t>-Пью значения воздействия были сопоставимы и находились в пределах диапазона, наблюдаемого у пациентов без нарушения функции печени. Фармакокинетика (</w:t>
      </w:r>
      <w:r>
        <w:rPr>
          <w:rFonts w:ascii="Times New Roman" w:hAnsi="Times New Roman"/>
          <w:color w:val="000000"/>
          <w:sz w:val="24"/>
          <w:szCs w:val="24"/>
        </w:rPr>
        <w:t>ФК</w:t>
      </w:r>
      <w:r w:rsidRPr="009C0367">
        <w:rPr>
          <w:rFonts w:ascii="Times New Roman" w:hAnsi="Times New Roman"/>
          <w:color w:val="000000"/>
          <w:sz w:val="24"/>
          <w:szCs w:val="24"/>
        </w:rPr>
        <w:t xml:space="preserve">) сорафениба у пациентов без ГЦК </w:t>
      </w:r>
      <w:r>
        <w:rPr>
          <w:rFonts w:ascii="Times New Roman" w:hAnsi="Times New Roman"/>
          <w:color w:val="000000"/>
          <w:sz w:val="24"/>
          <w:szCs w:val="24"/>
        </w:rPr>
        <w:t xml:space="preserve">с печеночной недостаточностью стадии А и В </w:t>
      </w:r>
      <w:r w:rsidRPr="009C0367">
        <w:rPr>
          <w:rFonts w:ascii="Times New Roman" w:hAnsi="Times New Roman"/>
          <w:color w:val="000000"/>
          <w:sz w:val="24"/>
          <w:szCs w:val="24"/>
        </w:rPr>
        <w:t>по шкале Чайлд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9C0367">
        <w:rPr>
          <w:rFonts w:ascii="Times New Roman" w:hAnsi="Times New Roman"/>
          <w:color w:val="000000"/>
          <w:sz w:val="24"/>
          <w:szCs w:val="24"/>
        </w:rPr>
        <w:t>-Пью была аналогична фармакокинетике здоровых добровольцев. Нет данных о пациентах с печеночной недостаточностью класса C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C0367">
        <w:rPr>
          <w:rFonts w:ascii="Times New Roman" w:hAnsi="Times New Roman"/>
          <w:color w:val="000000"/>
          <w:sz w:val="24"/>
          <w:szCs w:val="24"/>
        </w:rPr>
        <w:t>(тяжелой) по шкале Чайлд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9C0367">
        <w:rPr>
          <w:rFonts w:ascii="Times New Roman" w:hAnsi="Times New Roman"/>
          <w:color w:val="000000"/>
          <w:sz w:val="24"/>
          <w:szCs w:val="24"/>
        </w:rPr>
        <w:t>-Пью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C0367">
        <w:rPr>
          <w:rFonts w:ascii="Times New Roman" w:hAnsi="Times New Roman"/>
          <w:color w:val="000000"/>
          <w:sz w:val="24"/>
          <w:szCs w:val="24"/>
        </w:rPr>
        <w:t xml:space="preserve"> Сорафениб </w:t>
      </w:r>
      <w:r>
        <w:rPr>
          <w:rFonts w:ascii="Times New Roman" w:hAnsi="Times New Roman"/>
          <w:color w:val="000000"/>
          <w:sz w:val="24"/>
          <w:szCs w:val="24"/>
        </w:rPr>
        <w:t>выводится, главным образом,</w:t>
      </w:r>
      <w:r w:rsidRPr="009C0367">
        <w:rPr>
          <w:rFonts w:ascii="Times New Roman" w:hAnsi="Times New Roman"/>
          <w:color w:val="000000"/>
          <w:sz w:val="24"/>
          <w:szCs w:val="24"/>
        </w:rPr>
        <w:t xml:space="preserve"> через печень</w:t>
      </w:r>
      <w:r>
        <w:rPr>
          <w:rFonts w:ascii="Times New Roman" w:hAnsi="Times New Roman"/>
          <w:color w:val="000000"/>
          <w:sz w:val="24"/>
          <w:szCs w:val="24"/>
        </w:rPr>
        <w:t>, в этой связи</w:t>
      </w:r>
      <w:r w:rsidR="00FB6834">
        <w:rPr>
          <w:rFonts w:ascii="Times New Roman" w:hAnsi="Times New Roman"/>
          <w:color w:val="000000"/>
          <w:sz w:val="24"/>
          <w:szCs w:val="24"/>
        </w:rPr>
        <w:t xml:space="preserve"> экспозиция</w:t>
      </w:r>
      <w:r>
        <w:rPr>
          <w:rFonts w:ascii="Times New Roman" w:hAnsi="Times New Roman"/>
          <w:color w:val="000000"/>
          <w:sz w:val="24"/>
          <w:szCs w:val="24"/>
        </w:rPr>
        <w:t xml:space="preserve"> препарата </w:t>
      </w:r>
      <w:r w:rsidRPr="009C0367"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z w:val="24"/>
          <w:szCs w:val="24"/>
        </w:rPr>
        <w:t>данной</w:t>
      </w:r>
      <w:r w:rsidRPr="009C036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группы</w:t>
      </w:r>
      <w:r w:rsidRPr="009C0367">
        <w:rPr>
          <w:rFonts w:ascii="Times New Roman" w:hAnsi="Times New Roman"/>
          <w:color w:val="000000"/>
          <w:sz w:val="24"/>
          <w:szCs w:val="24"/>
        </w:rPr>
        <w:t xml:space="preserve"> пациентов </w:t>
      </w:r>
      <w:r>
        <w:rPr>
          <w:rFonts w:ascii="Times New Roman" w:hAnsi="Times New Roman"/>
          <w:color w:val="000000"/>
          <w:sz w:val="24"/>
          <w:szCs w:val="24"/>
        </w:rPr>
        <w:t xml:space="preserve">может </w:t>
      </w:r>
      <w:r w:rsidR="00FB6834">
        <w:rPr>
          <w:rFonts w:ascii="Times New Roman" w:hAnsi="Times New Roman"/>
          <w:color w:val="000000"/>
          <w:sz w:val="24"/>
          <w:szCs w:val="24"/>
        </w:rPr>
        <w:t>повышаться</w:t>
      </w:r>
      <w:r w:rsidRPr="009C0367">
        <w:rPr>
          <w:rFonts w:ascii="Times New Roman" w:hAnsi="Times New Roman"/>
          <w:color w:val="000000"/>
          <w:sz w:val="24"/>
          <w:szCs w:val="24"/>
        </w:rPr>
        <w:t>.</w:t>
      </w:r>
    </w:p>
    <w:p w14:paraId="65A21FB3" w14:textId="77777777" w:rsidR="009C0367" w:rsidRPr="005E71D6" w:rsidRDefault="009C0367" w:rsidP="005E7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</w:p>
    <w:p w14:paraId="17A6FB09" w14:textId="77777777" w:rsidR="00DF3381" w:rsidRPr="008C2E13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C2E13">
        <w:rPr>
          <w:rFonts w:ascii="Times New Roman" w:hAnsi="Times New Roman"/>
          <w:b/>
          <w:sz w:val="24"/>
          <w:szCs w:val="24"/>
          <w:lang w:eastAsia="ru-RU"/>
        </w:rPr>
        <w:t xml:space="preserve">5.3. </w:t>
      </w:r>
      <w:r w:rsidRPr="008C2E13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8C2E13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14:paraId="7BF9360C" w14:textId="77777777" w:rsidR="00DC1005" w:rsidRPr="00DC1005" w:rsidRDefault="00DC1005" w:rsidP="00412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C1005">
        <w:rPr>
          <w:rFonts w:ascii="Times New Roman" w:hAnsi="Times New Roman"/>
          <w:iCs/>
          <w:sz w:val="24"/>
          <w:szCs w:val="24"/>
          <w:lang w:eastAsia="ru-RU"/>
        </w:rPr>
        <w:t>Доклинический профиль безопасности сорафениба оценивал</w:t>
      </w:r>
      <w:r>
        <w:rPr>
          <w:rFonts w:ascii="Times New Roman" w:hAnsi="Times New Roman"/>
          <w:iCs/>
          <w:sz w:val="24"/>
          <w:szCs w:val="24"/>
          <w:lang w:eastAsia="ru-RU"/>
        </w:rPr>
        <w:t>ся</w:t>
      </w:r>
      <w:r w:rsidRPr="00DC100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</w:t>
      </w:r>
      <w:r w:rsidRPr="00DC1005">
        <w:rPr>
          <w:rFonts w:ascii="Times New Roman" w:hAnsi="Times New Roman"/>
          <w:iCs/>
          <w:sz w:val="24"/>
          <w:szCs w:val="24"/>
          <w:lang w:eastAsia="ru-RU"/>
        </w:rPr>
        <w:t xml:space="preserve"> мыш</w:t>
      </w:r>
      <w:r>
        <w:rPr>
          <w:rFonts w:ascii="Times New Roman" w:hAnsi="Times New Roman"/>
          <w:iCs/>
          <w:sz w:val="24"/>
          <w:szCs w:val="24"/>
          <w:lang w:eastAsia="ru-RU"/>
        </w:rPr>
        <w:t>ах</w:t>
      </w:r>
      <w:r w:rsidRPr="00DC1005">
        <w:rPr>
          <w:rFonts w:ascii="Times New Roman" w:hAnsi="Times New Roman"/>
          <w:iCs/>
          <w:sz w:val="24"/>
          <w:szCs w:val="24"/>
          <w:lang w:eastAsia="ru-RU"/>
        </w:rPr>
        <w:t>, крыс</w:t>
      </w:r>
      <w:r>
        <w:rPr>
          <w:rFonts w:ascii="Times New Roman" w:hAnsi="Times New Roman"/>
          <w:iCs/>
          <w:sz w:val="24"/>
          <w:szCs w:val="24"/>
          <w:lang w:eastAsia="ru-RU"/>
        </w:rPr>
        <w:t>ах</w:t>
      </w:r>
      <w:r w:rsidRPr="00DC1005">
        <w:rPr>
          <w:rFonts w:ascii="Times New Roman" w:hAnsi="Times New Roman"/>
          <w:iCs/>
          <w:sz w:val="24"/>
          <w:szCs w:val="24"/>
          <w:lang w:eastAsia="ru-RU"/>
        </w:rPr>
        <w:t>, собак</w:t>
      </w:r>
      <w:r>
        <w:rPr>
          <w:rFonts w:ascii="Times New Roman" w:hAnsi="Times New Roman"/>
          <w:iCs/>
          <w:sz w:val="24"/>
          <w:szCs w:val="24"/>
          <w:lang w:eastAsia="ru-RU"/>
        </w:rPr>
        <w:t>ах</w:t>
      </w:r>
      <w:r w:rsidRPr="00DC1005">
        <w:rPr>
          <w:rFonts w:ascii="Times New Roman" w:hAnsi="Times New Roman"/>
          <w:iCs/>
          <w:sz w:val="24"/>
          <w:szCs w:val="24"/>
          <w:lang w:eastAsia="ru-RU"/>
        </w:rPr>
        <w:t xml:space="preserve"> и кролик</w:t>
      </w:r>
      <w:r>
        <w:rPr>
          <w:rFonts w:ascii="Times New Roman" w:hAnsi="Times New Roman"/>
          <w:iCs/>
          <w:sz w:val="24"/>
          <w:szCs w:val="24"/>
          <w:lang w:eastAsia="ru-RU"/>
        </w:rPr>
        <w:t>ах</w:t>
      </w:r>
      <w:r w:rsidRPr="00DC1005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229B69E4" w14:textId="77777777" w:rsidR="00DC1005" w:rsidRPr="00DC1005" w:rsidRDefault="00DC1005" w:rsidP="00412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C1005">
        <w:rPr>
          <w:rFonts w:ascii="Times New Roman" w:hAnsi="Times New Roman"/>
          <w:iCs/>
          <w:sz w:val="24"/>
          <w:szCs w:val="24"/>
          <w:lang w:eastAsia="ru-RU"/>
        </w:rPr>
        <w:t xml:space="preserve">Исследования токсичности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при </w:t>
      </w:r>
      <w:r w:rsidRPr="00DC1005">
        <w:rPr>
          <w:rFonts w:ascii="Times New Roman" w:hAnsi="Times New Roman"/>
          <w:iCs/>
          <w:sz w:val="24"/>
          <w:szCs w:val="24"/>
          <w:lang w:eastAsia="ru-RU"/>
        </w:rPr>
        <w:t>повторных доз</w:t>
      </w:r>
      <w:r>
        <w:rPr>
          <w:rFonts w:ascii="Times New Roman" w:hAnsi="Times New Roman"/>
          <w:iCs/>
          <w:sz w:val="24"/>
          <w:szCs w:val="24"/>
          <w:lang w:eastAsia="ru-RU"/>
        </w:rPr>
        <w:t>ах</w:t>
      </w:r>
      <w:r w:rsidRPr="00DC1005">
        <w:rPr>
          <w:rFonts w:ascii="Times New Roman" w:hAnsi="Times New Roman"/>
          <w:iCs/>
          <w:sz w:val="24"/>
          <w:szCs w:val="24"/>
          <w:lang w:eastAsia="ru-RU"/>
        </w:rPr>
        <w:t xml:space="preserve"> выявили изменения (дегенерации и регенерации) в различных органах при воздействии ниже </w:t>
      </w:r>
      <w:r>
        <w:rPr>
          <w:rFonts w:ascii="Times New Roman" w:hAnsi="Times New Roman"/>
          <w:iCs/>
          <w:sz w:val="24"/>
          <w:szCs w:val="24"/>
          <w:lang w:eastAsia="ru-RU"/>
        </w:rPr>
        <w:t>предполагаемого</w:t>
      </w:r>
      <w:r w:rsidRPr="00DC1005">
        <w:rPr>
          <w:rFonts w:ascii="Times New Roman" w:hAnsi="Times New Roman"/>
          <w:iCs/>
          <w:sz w:val="24"/>
          <w:szCs w:val="24"/>
          <w:lang w:eastAsia="ru-RU"/>
        </w:rPr>
        <w:t xml:space="preserve"> клинического воздействия (на основе сравнения AUC).</w:t>
      </w:r>
    </w:p>
    <w:p w14:paraId="3F3A094C" w14:textId="77777777" w:rsidR="00DC1005" w:rsidRPr="00DC1005" w:rsidRDefault="00DC1005" w:rsidP="00412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14:paraId="30838EAA" w14:textId="77777777" w:rsidR="00DC1005" w:rsidRPr="00DC1005" w:rsidRDefault="00DC1005" w:rsidP="00412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C1005">
        <w:rPr>
          <w:rFonts w:ascii="Times New Roman" w:hAnsi="Times New Roman"/>
          <w:iCs/>
          <w:sz w:val="24"/>
          <w:szCs w:val="24"/>
          <w:lang w:eastAsia="ru-RU"/>
        </w:rPr>
        <w:lastRenderedPageBreak/>
        <w:t>Исследования токсичности повторных доз выявили изменения (дегенерации и регенерации) в различных органах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у собак </w:t>
      </w:r>
      <w:r w:rsidRPr="00DC1005">
        <w:rPr>
          <w:rFonts w:ascii="Times New Roman" w:hAnsi="Times New Roman"/>
          <w:iCs/>
          <w:sz w:val="24"/>
          <w:szCs w:val="24"/>
          <w:lang w:eastAsia="ru-RU"/>
        </w:rPr>
        <w:t>наблюдалось воздействие на кос</w:t>
      </w:r>
      <w:r>
        <w:rPr>
          <w:rFonts w:ascii="Times New Roman" w:hAnsi="Times New Roman"/>
          <w:iCs/>
          <w:sz w:val="24"/>
          <w:szCs w:val="24"/>
          <w:lang w:eastAsia="ru-RU"/>
        </w:rPr>
        <w:t>ти</w:t>
      </w:r>
      <w:r w:rsidRPr="00DC1005">
        <w:rPr>
          <w:rFonts w:ascii="Times New Roman" w:hAnsi="Times New Roman"/>
          <w:iCs/>
          <w:sz w:val="24"/>
          <w:szCs w:val="24"/>
          <w:lang w:eastAsia="ru-RU"/>
        </w:rPr>
        <w:t xml:space="preserve"> и зубы при экспозиции ниже клиническо</w:t>
      </w:r>
      <w:r>
        <w:rPr>
          <w:rFonts w:ascii="Times New Roman" w:hAnsi="Times New Roman"/>
          <w:iCs/>
          <w:sz w:val="24"/>
          <w:szCs w:val="24"/>
          <w:lang w:eastAsia="ru-RU"/>
        </w:rPr>
        <w:t>го порога</w:t>
      </w:r>
      <w:r w:rsidRPr="00DC1005">
        <w:rPr>
          <w:rFonts w:ascii="Times New Roman" w:hAnsi="Times New Roman"/>
          <w:iCs/>
          <w:sz w:val="24"/>
          <w:szCs w:val="24"/>
          <w:lang w:eastAsia="ru-RU"/>
        </w:rPr>
        <w:t xml:space="preserve">. Изменения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выражались </w:t>
      </w:r>
      <w:r w:rsidRPr="00DC1005">
        <w:rPr>
          <w:rFonts w:ascii="Times New Roman" w:hAnsi="Times New Roman"/>
          <w:iCs/>
          <w:sz w:val="24"/>
          <w:szCs w:val="24"/>
          <w:lang w:eastAsia="ru-RU"/>
        </w:rPr>
        <w:t>неравномерн</w:t>
      </w:r>
      <w:r>
        <w:rPr>
          <w:rFonts w:ascii="Times New Roman" w:hAnsi="Times New Roman"/>
          <w:iCs/>
          <w:sz w:val="24"/>
          <w:szCs w:val="24"/>
          <w:lang w:eastAsia="ru-RU"/>
        </w:rPr>
        <w:t>ым</w:t>
      </w:r>
      <w:r w:rsidRPr="00DC1005">
        <w:rPr>
          <w:rFonts w:ascii="Times New Roman" w:hAnsi="Times New Roman"/>
          <w:iCs/>
          <w:sz w:val="24"/>
          <w:szCs w:val="24"/>
          <w:lang w:eastAsia="ru-RU"/>
        </w:rPr>
        <w:t xml:space="preserve"> утолщени</w:t>
      </w:r>
      <w:r>
        <w:rPr>
          <w:rFonts w:ascii="Times New Roman" w:hAnsi="Times New Roman"/>
          <w:iCs/>
          <w:sz w:val="24"/>
          <w:szCs w:val="24"/>
          <w:lang w:eastAsia="ru-RU"/>
        </w:rPr>
        <w:t>ем</w:t>
      </w:r>
      <w:r w:rsidRPr="00DC100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пластинки роста</w:t>
      </w:r>
      <w:r w:rsidRPr="00DC1005">
        <w:rPr>
          <w:rFonts w:ascii="Times New Roman" w:hAnsi="Times New Roman"/>
          <w:iCs/>
          <w:sz w:val="24"/>
          <w:szCs w:val="24"/>
          <w:lang w:eastAsia="ru-RU"/>
        </w:rPr>
        <w:t xml:space="preserve"> бедренной кости, гипоцеллюлярност</w:t>
      </w:r>
      <w:r>
        <w:rPr>
          <w:rFonts w:ascii="Times New Roman" w:hAnsi="Times New Roman"/>
          <w:iCs/>
          <w:sz w:val="24"/>
          <w:szCs w:val="24"/>
          <w:lang w:eastAsia="ru-RU"/>
        </w:rPr>
        <w:t>ью</w:t>
      </w:r>
      <w:r w:rsidRPr="00DC1005">
        <w:rPr>
          <w:rFonts w:ascii="Times New Roman" w:hAnsi="Times New Roman"/>
          <w:iCs/>
          <w:sz w:val="24"/>
          <w:szCs w:val="24"/>
          <w:lang w:eastAsia="ru-RU"/>
        </w:rPr>
        <w:t xml:space="preserve"> костного мозга рядом с измененной пластин</w:t>
      </w:r>
      <w:r>
        <w:rPr>
          <w:rFonts w:ascii="Times New Roman" w:hAnsi="Times New Roman"/>
          <w:iCs/>
          <w:sz w:val="24"/>
          <w:szCs w:val="24"/>
          <w:lang w:eastAsia="ru-RU"/>
        </w:rPr>
        <w:t>к</w:t>
      </w:r>
      <w:r w:rsidRPr="00DC1005">
        <w:rPr>
          <w:rFonts w:ascii="Times New Roman" w:hAnsi="Times New Roman"/>
          <w:iCs/>
          <w:sz w:val="24"/>
          <w:szCs w:val="24"/>
          <w:lang w:eastAsia="ru-RU"/>
        </w:rPr>
        <w:t>ой роста и изменени</w:t>
      </w:r>
      <w:r w:rsidR="00412F38">
        <w:rPr>
          <w:rFonts w:ascii="Times New Roman" w:hAnsi="Times New Roman"/>
          <w:iCs/>
          <w:sz w:val="24"/>
          <w:szCs w:val="24"/>
          <w:lang w:eastAsia="ru-RU"/>
        </w:rPr>
        <w:t>ем</w:t>
      </w:r>
      <w:r w:rsidRPr="00DC1005">
        <w:rPr>
          <w:rFonts w:ascii="Times New Roman" w:hAnsi="Times New Roman"/>
          <w:iCs/>
          <w:sz w:val="24"/>
          <w:szCs w:val="24"/>
          <w:lang w:eastAsia="ru-RU"/>
        </w:rPr>
        <w:t xml:space="preserve"> состава дентина. </w:t>
      </w:r>
      <w:r w:rsidR="00412F38" w:rsidRPr="00412F38">
        <w:rPr>
          <w:rFonts w:ascii="Times New Roman" w:hAnsi="Times New Roman"/>
          <w:iCs/>
          <w:sz w:val="24"/>
          <w:szCs w:val="24"/>
          <w:lang w:eastAsia="ru-RU"/>
        </w:rPr>
        <w:t>У взрослых собак подобных эффектов не наблюдалось.</w:t>
      </w:r>
    </w:p>
    <w:p w14:paraId="4204D25F" w14:textId="77777777" w:rsidR="00412F38" w:rsidRPr="00412F38" w:rsidRDefault="00412F38" w:rsidP="00412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12F38">
        <w:rPr>
          <w:rFonts w:ascii="Times New Roman" w:hAnsi="Times New Roman"/>
          <w:iCs/>
          <w:sz w:val="24"/>
          <w:szCs w:val="24"/>
          <w:lang w:eastAsia="ru-RU"/>
        </w:rPr>
        <w:t xml:space="preserve">Была проведена стандартная программа исследований генотоксичности, и были получены положительные результаты в виде увеличения структурных хромосомных аберраций в анализе клеток млекопитающих </w:t>
      </w:r>
      <w:r w:rsidRPr="00412F38">
        <w:rPr>
          <w:rFonts w:ascii="Times New Roman" w:hAnsi="Times New Roman"/>
          <w:i/>
          <w:sz w:val="24"/>
          <w:szCs w:val="24"/>
          <w:lang w:eastAsia="ru-RU"/>
        </w:rPr>
        <w:t>in vitro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 xml:space="preserve"> (яичники китайского хомячка) на кластогенность в присутствии метаболической активации. Сорафениб не </w:t>
      </w:r>
      <w:r>
        <w:rPr>
          <w:rFonts w:ascii="Times New Roman" w:hAnsi="Times New Roman"/>
          <w:iCs/>
          <w:sz w:val="24"/>
          <w:szCs w:val="24"/>
          <w:lang w:eastAsia="ru-RU"/>
        </w:rPr>
        <w:t>проявлял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 xml:space="preserve"> генотоксичны</w:t>
      </w:r>
      <w:r>
        <w:rPr>
          <w:rFonts w:ascii="Times New Roman" w:hAnsi="Times New Roman"/>
          <w:iCs/>
          <w:sz w:val="24"/>
          <w:szCs w:val="24"/>
          <w:lang w:eastAsia="ru-RU"/>
        </w:rPr>
        <w:t>х свойств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 xml:space="preserve"> в тесте Эймса или в микроядер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ном тесте </w:t>
      </w:r>
      <w:r w:rsidRPr="00412F38">
        <w:rPr>
          <w:rFonts w:ascii="Times New Roman" w:hAnsi="Times New Roman"/>
          <w:i/>
          <w:sz w:val="24"/>
          <w:szCs w:val="24"/>
          <w:lang w:eastAsia="ru-RU"/>
        </w:rPr>
        <w:t>in vivo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у 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>мышей. Одно промежуточное соединение в производственном процессе, которое также присутствует в конечно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й активной субстанции 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 xml:space="preserve">(&lt;0,15%), </w:t>
      </w:r>
      <w:r>
        <w:rPr>
          <w:rFonts w:ascii="Times New Roman" w:hAnsi="Times New Roman"/>
          <w:iCs/>
          <w:sz w:val="24"/>
          <w:szCs w:val="24"/>
          <w:lang w:eastAsia="ru-RU"/>
        </w:rPr>
        <w:t>показал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 xml:space="preserve"> положительны</w:t>
      </w:r>
      <w:r>
        <w:rPr>
          <w:rFonts w:ascii="Times New Roman" w:hAnsi="Times New Roman"/>
          <w:iCs/>
          <w:sz w:val="24"/>
          <w:szCs w:val="24"/>
          <w:lang w:eastAsia="ru-RU"/>
        </w:rPr>
        <w:t>й результат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 xml:space="preserve"> на мутагенез в анализе бактериальных клеток </w:t>
      </w:r>
      <w:r w:rsidRPr="00412F38">
        <w:rPr>
          <w:rFonts w:ascii="Times New Roman" w:hAnsi="Times New Roman"/>
          <w:i/>
          <w:sz w:val="24"/>
          <w:szCs w:val="24"/>
          <w:lang w:eastAsia="ru-RU"/>
        </w:rPr>
        <w:t>in vitro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 xml:space="preserve"> (тест Эймса). Кроме того, партия сорафениба,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которая 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>испы</w:t>
      </w:r>
      <w:r>
        <w:rPr>
          <w:rFonts w:ascii="Times New Roman" w:hAnsi="Times New Roman"/>
          <w:iCs/>
          <w:sz w:val="24"/>
          <w:szCs w:val="24"/>
          <w:lang w:eastAsia="ru-RU"/>
        </w:rPr>
        <w:t>валась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 xml:space="preserve"> в стандартной батарее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на 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>генотоксичност</w:t>
      </w:r>
      <w:r>
        <w:rPr>
          <w:rFonts w:ascii="Times New Roman" w:hAnsi="Times New Roman"/>
          <w:iCs/>
          <w:sz w:val="24"/>
          <w:szCs w:val="24"/>
          <w:lang w:eastAsia="ru-RU"/>
        </w:rPr>
        <w:t>ь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 xml:space="preserve">, содержала 0,34% </w:t>
      </w:r>
      <w:r w:rsidRPr="00AD2A30">
        <w:rPr>
          <w:rFonts w:ascii="Times New Roman" w:hAnsi="Times New Roman"/>
          <w:iCs/>
          <w:sz w:val="24"/>
          <w:szCs w:val="24"/>
          <w:lang w:eastAsia="ru-RU"/>
        </w:rPr>
        <w:t>PAPE.</w:t>
      </w:r>
      <w:r w:rsidR="002550C3" w:rsidRPr="002550C3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>Исследовани</w:t>
      </w:r>
      <w:r>
        <w:rPr>
          <w:rFonts w:ascii="Times New Roman" w:hAnsi="Times New Roman"/>
          <w:iCs/>
          <w:sz w:val="24"/>
          <w:szCs w:val="24"/>
          <w:lang w:eastAsia="ru-RU"/>
        </w:rPr>
        <w:t>й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 xml:space="preserve"> канцерогенности сорафениба не проводились.</w:t>
      </w:r>
    </w:p>
    <w:p w14:paraId="4E074C58" w14:textId="77777777" w:rsidR="00412F38" w:rsidRPr="00412F38" w:rsidRDefault="00412F38" w:rsidP="00412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12F38">
        <w:rPr>
          <w:rFonts w:ascii="Times New Roman" w:hAnsi="Times New Roman"/>
          <w:iCs/>
          <w:sz w:val="24"/>
          <w:szCs w:val="24"/>
          <w:lang w:eastAsia="ru-RU"/>
        </w:rPr>
        <w:t xml:space="preserve">Специальных исследований сорафениба на животных для оценки его влияния на фертильность не проводилось. Однако можно </w:t>
      </w:r>
      <w:r w:rsidR="002550C3">
        <w:rPr>
          <w:rFonts w:ascii="Times New Roman" w:hAnsi="Times New Roman"/>
          <w:iCs/>
          <w:sz w:val="24"/>
          <w:szCs w:val="24"/>
          <w:lang w:eastAsia="ru-RU"/>
        </w:rPr>
        <w:t>предположить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 xml:space="preserve"> неблагоприятно</w:t>
      </w:r>
      <w:r w:rsidR="002550C3">
        <w:rPr>
          <w:rFonts w:ascii="Times New Roman" w:hAnsi="Times New Roman"/>
          <w:iCs/>
          <w:sz w:val="24"/>
          <w:szCs w:val="24"/>
          <w:lang w:eastAsia="ru-RU"/>
        </w:rPr>
        <w:t xml:space="preserve">е 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>воздействи</w:t>
      </w:r>
      <w:r w:rsidR="002550C3">
        <w:rPr>
          <w:rFonts w:ascii="Times New Roman" w:hAnsi="Times New Roman"/>
          <w:iCs/>
          <w:sz w:val="24"/>
          <w:szCs w:val="24"/>
          <w:lang w:eastAsia="ru-RU"/>
        </w:rPr>
        <w:t>е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 xml:space="preserve"> на фертильность, поскольку исследования повторных доз на животных </w:t>
      </w:r>
      <w:r w:rsidR="002550C3">
        <w:rPr>
          <w:rFonts w:ascii="Times New Roman" w:hAnsi="Times New Roman"/>
          <w:iCs/>
          <w:sz w:val="24"/>
          <w:szCs w:val="24"/>
          <w:lang w:eastAsia="ru-RU"/>
        </w:rPr>
        <w:t>выявили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 xml:space="preserve"> изменения в репродуктивных органах самцов и самок </w:t>
      </w:r>
      <w:r w:rsidR="002550C3">
        <w:rPr>
          <w:rFonts w:ascii="Times New Roman" w:hAnsi="Times New Roman"/>
          <w:iCs/>
          <w:sz w:val="24"/>
          <w:szCs w:val="24"/>
          <w:lang w:eastAsia="ru-RU"/>
        </w:rPr>
        <w:t xml:space="preserve">при воздействии </w:t>
      </w:r>
      <w:r w:rsidR="002550C3" w:rsidRPr="002550C3">
        <w:rPr>
          <w:rFonts w:ascii="Times New Roman" w:hAnsi="Times New Roman"/>
          <w:iCs/>
          <w:sz w:val="24"/>
          <w:szCs w:val="24"/>
          <w:lang w:eastAsia="ru-RU"/>
        </w:rPr>
        <w:t xml:space="preserve">ниже </w:t>
      </w:r>
      <w:r w:rsidR="002550C3">
        <w:rPr>
          <w:rFonts w:ascii="Times New Roman" w:hAnsi="Times New Roman"/>
          <w:iCs/>
          <w:sz w:val="24"/>
          <w:szCs w:val="24"/>
          <w:lang w:eastAsia="ru-RU"/>
        </w:rPr>
        <w:t xml:space="preserve">клинически </w:t>
      </w:r>
      <w:r w:rsidR="002550C3" w:rsidRPr="002550C3">
        <w:rPr>
          <w:rFonts w:ascii="Times New Roman" w:hAnsi="Times New Roman"/>
          <w:iCs/>
          <w:sz w:val="24"/>
          <w:szCs w:val="24"/>
          <w:lang w:eastAsia="ru-RU"/>
        </w:rPr>
        <w:t xml:space="preserve">предполагаемого 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 xml:space="preserve">(на основе AUC). </w:t>
      </w:r>
      <w:r w:rsidR="002550C3"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 xml:space="preserve">зменения </w:t>
      </w:r>
      <w:r w:rsidR="002550C3">
        <w:rPr>
          <w:rFonts w:ascii="Times New Roman" w:hAnsi="Times New Roman"/>
          <w:iCs/>
          <w:sz w:val="24"/>
          <w:szCs w:val="24"/>
          <w:lang w:eastAsia="ru-RU"/>
        </w:rPr>
        <w:t>включали в себя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 xml:space="preserve"> признак</w:t>
      </w:r>
      <w:r w:rsidR="002550C3"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 xml:space="preserve"> дегенерации и замедления развития яичек, придатков яичка, простаты и семенных пузырьков крыс. </w:t>
      </w:r>
      <w:r w:rsidR="002550C3">
        <w:rPr>
          <w:rFonts w:ascii="Times New Roman" w:hAnsi="Times New Roman"/>
          <w:iCs/>
          <w:sz w:val="24"/>
          <w:szCs w:val="24"/>
          <w:lang w:eastAsia="ru-RU"/>
        </w:rPr>
        <w:t>У с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>ам</w:t>
      </w:r>
      <w:r w:rsidR="002550C3">
        <w:rPr>
          <w:rFonts w:ascii="Times New Roman" w:hAnsi="Times New Roman"/>
          <w:iCs/>
          <w:sz w:val="24"/>
          <w:szCs w:val="24"/>
          <w:lang w:eastAsia="ru-RU"/>
        </w:rPr>
        <w:t>о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 xml:space="preserve">к крыс </w:t>
      </w:r>
      <w:r w:rsidR="002550C3">
        <w:rPr>
          <w:rFonts w:ascii="Times New Roman" w:hAnsi="Times New Roman"/>
          <w:iCs/>
          <w:sz w:val="24"/>
          <w:szCs w:val="24"/>
          <w:lang w:eastAsia="ru-RU"/>
        </w:rPr>
        <w:t>наблюдался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 xml:space="preserve"> центральный некроз желтого тела и остановк</w:t>
      </w:r>
      <w:r w:rsidR="002550C3"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Pr="00412F38">
        <w:rPr>
          <w:rFonts w:ascii="Times New Roman" w:hAnsi="Times New Roman"/>
          <w:iCs/>
          <w:sz w:val="24"/>
          <w:szCs w:val="24"/>
          <w:lang w:eastAsia="ru-RU"/>
        </w:rPr>
        <w:t xml:space="preserve"> развития фолликулов в яичниках. У собак наблюдалась тубулярная дегенерация яичек и олигоспермия.</w:t>
      </w:r>
    </w:p>
    <w:p w14:paraId="0908B0E7" w14:textId="77777777" w:rsidR="00412F38" w:rsidRDefault="002550C3" w:rsidP="0025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2550C3">
        <w:rPr>
          <w:rFonts w:ascii="Times New Roman" w:hAnsi="Times New Roman"/>
          <w:iCs/>
          <w:sz w:val="24"/>
          <w:szCs w:val="24"/>
          <w:lang w:eastAsia="ru-RU"/>
        </w:rPr>
        <w:t xml:space="preserve">Исследования по оценке экологических рисков </w:t>
      </w:r>
      <w:r>
        <w:rPr>
          <w:rFonts w:ascii="Times New Roman" w:hAnsi="Times New Roman"/>
          <w:iCs/>
          <w:sz w:val="24"/>
          <w:szCs w:val="24"/>
          <w:lang w:eastAsia="ru-RU"/>
        </w:rPr>
        <w:t>указывают на то</w:t>
      </w:r>
      <w:r w:rsidRPr="002550C3">
        <w:rPr>
          <w:rFonts w:ascii="Times New Roman" w:hAnsi="Times New Roman"/>
          <w:iCs/>
          <w:sz w:val="24"/>
          <w:szCs w:val="24"/>
          <w:lang w:eastAsia="ru-RU"/>
        </w:rPr>
        <w:t xml:space="preserve">, что сорафениба тозилат может </w:t>
      </w:r>
      <w:r>
        <w:rPr>
          <w:rFonts w:ascii="Times New Roman" w:hAnsi="Times New Roman"/>
          <w:iCs/>
          <w:sz w:val="24"/>
          <w:szCs w:val="24"/>
          <w:lang w:eastAsia="ru-RU"/>
        </w:rPr>
        <w:t>оказывать</w:t>
      </w:r>
      <w:r w:rsidRPr="002550C3">
        <w:rPr>
          <w:rFonts w:ascii="Times New Roman" w:hAnsi="Times New Roman"/>
          <w:iCs/>
          <w:sz w:val="24"/>
          <w:szCs w:val="24"/>
          <w:lang w:eastAsia="ru-RU"/>
        </w:rPr>
        <w:t xml:space="preserve"> стойк</w:t>
      </w:r>
      <w:r>
        <w:rPr>
          <w:rFonts w:ascii="Times New Roman" w:hAnsi="Times New Roman"/>
          <w:iCs/>
          <w:sz w:val="24"/>
          <w:szCs w:val="24"/>
          <w:lang w:eastAsia="ru-RU"/>
        </w:rPr>
        <w:t>ое</w:t>
      </w:r>
      <w:r w:rsidRPr="002550C3">
        <w:rPr>
          <w:rFonts w:ascii="Times New Roman" w:hAnsi="Times New Roman"/>
          <w:iCs/>
          <w:sz w:val="24"/>
          <w:szCs w:val="24"/>
          <w:lang w:eastAsia="ru-RU"/>
        </w:rPr>
        <w:t>, биоаккумулятивн</w:t>
      </w:r>
      <w:r>
        <w:rPr>
          <w:rFonts w:ascii="Times New Roman" w:hAnsi="Times New Roman"/>
          <w:iCs/>
          <w:sz w:val="24"/>
          <w:szCs w:val="24"/>
          <w:lang w:eastAsia="ru-RU"/>
        </w:rPr>
        <w:t>ое</w:t>
      </w:r>
      <w:r w:rsidRPr="002550C3">
        <w:rPr>
          <w:rFonts w:ascii="Times New Roman" w:hAnsi="Times New Roman"/>
          <w:iCs/>
          <w:sz w:val="24"/>
          <w:szCs w:val="24"/>
          <w:lang w:eastAsia="ru-RU"/>
        </w:rPr>
        <w:t xml:space="preserve"> и токси</w:t>
      </w:r>
      <w:r>
        <w:rPr>
          <w:rFonts w:ascii="Times New Roman" w:hAnsi="Times New Roman"/>
          <w:iCs/>
          <w:sz w:val="24"/>
          <w:szCs w:val="24"/>
          <w:lang w:eastAsia="ru-RU"/>
        </w:rPr>
        <w:t>ческое воздействие</w:t>
      </w:r>
      <w:r w:rsidRPr="002550C3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на</w:t>
      </w:r>
      <w:r w:rsidRPr="002550C3">
        <w:rPr>
          <w:rFonts w:ascii="Times New Roman" w:hAnsi="Times New Roman"/>
          <w:iCs/>
          <w:sz w:val="24"/>
          <w:szCs w:val="24"/>
          <w:lang w:eastAsia="ru-RU"/>
        </w:rPr>
        <w:t xml:space="preserve"> окружающ</w:t>
      </w:r>
      <w:r>
        <w:rPr>
          <w:rFonts w:ascii="Times New Roman" w:hAnsi="Times New Roman"/>
          <w:iCs/>
          <w:sz w:val="24"/>
          <w:szCs w:val="24"/>
          <w:lang w:eastAsia="ru-RU"/>
        </w:rPr>
        <w:t>ую</w:t>
      </w:r>
      <w:r w:rsidRPr="002550C3">
        <w:rPr>
          <w:rFonts w:ascii="Times New Roman" w:hAnsi="Times New Roman"/>
          <w:iCs/>
          <w:sz w:val="24"/>
          <w:szCs w:val="24"/>
          <w:lang w:eastAsia="ru-RU"/>
        </w:rPr>
        <w:t xml:space="preserve"> сред</w:t>
      </w:r>
      <w:r>
        <w:rPr>
          <w:rFonts w:ascii="Times New Roman" w:hAnsi="Times New Roman"/>
          <w:iCs/>
          <w:sz w:val="24"/>
          <w:szCs w:val="24"/>
          <w:lang w:eastAsia="ru-RU"/>
        </w:rPr>
        <w:t>у</w:t>
      </w:r>
      <w:r w:rsidRPr="002550C3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</w:p>
    <w:p w14:paraId="2D7734BB" w14:textId="77777777" w:rsidR="002550C3" w:rsidRPr="008C2E13" w:rsidRDefault="002550C3" w:rsidP="0025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12EC738" w14:textId="77777777" w:rsidR="00DF3381" w:rsidRPr="008C2E13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C2E13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8C2E13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0A9D8EA8" w14:textId="77777777" w:rsidR="005921EA" w:rsidRPr="008C2E13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C2E13">
        <w:rPr>
          <w:rFonts w:ascii="Times New Roman" w:hAnsi="Times New Roman"/>
          <w:b/>
          <w:sz w:val="24"/>
          <w:szCs w:val="24"/>
          <w:lang w:eastAsia="ru-RU"/>
        </w:rPr>
        <w:t xml:space="preserve">6.1. </w:t>
      </w:r>
      <w:r w:rsidRPr="008C2E13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5976784E" w14:textId="77777777" w:rsidR="00D37532" w:rsidRDefault="00D3753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D37532">
        <w:rPr>
          <w:rFonts w:ascii="Times New Roman" w:eastAsia="TimesNewRomanPSMT" w:hAnsi="Times New Roman"/>
          <w:sz w:val="24"/>
          <w:szCs w:val="24"/>
          <w:lang w:eastAsia="ru-RU"/>
        </w:rPr>
        <w:t>Целлюлоза микрокристаллическая (Авицел РН 101)</w:t>
      </w:r>
    </w:p>
    <w:p w14:paraId="30F227CC" w14:textId="77777777" w:rsidR="00D37532" w:rsidRDefault="00D3753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D37532">
        <w:rPr>
          <w:rFonts w:ascii="Times New Roman" w:eastAsia="TimesNewRomanPSMT" w:hAnsi="Times New Roman"/>
          <w:sz w:val="24"/>
          <w:szCs w:val="24"/>
          <w:lang w:eastAsia="ru-RU"/>
        </w:rPr>
        <w:t>Натрия кроскармеллоза</w:t>
      </w:r>
    </w:p>
    <w:p w14:paraId="54ED8052" w14:textId="77777777" w:rsidR="00D37532" w:rsidRDefault="00D3753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D37532">
        <w:rPr>
          <w:rFonts w:ascii="Times New Roman" w:eastAsia="TimesNewRomanPSMT" w:hAnsi="Times New Roman"/>
          <w:sz w:val="24"/>
          <w:szCs w:val="24"/>
          <w:lang w:eastAsia="ru-RU"/>
        </w:rPr>
        <w:t xml:space="preserve">Гипромеллоза 50 срs </w:t>
      </w:r>
    </w:p>
    <w:p w14:paraId="3660A102" w14:textId="77777777" w:rsidR="00D37532" w:rsidRDefault="00D37532" w:rsidP="00D3753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D37532">
        <w:rPr>
          <w:rFonts w:ascii="Times New Roman" w:eastAsia="TimesNewRomanPSMT" w:hAnsi="Times New Roman"/>
          <w:sz w:val="24"/>
          <w:szCs w:val="24"/>
          <w:lang w:eastAsia="ru-RU"/>
        </w:rPr>
        <w:t>Натрия лаурилсульфат</w:t>
      </w:r>
      <w:r>
        <w:rPr>
          <w:rFonts w:ascii="Times New Roman" w:eastAsia="TimesNewRomanPSMT" w:hAnsi="Times New Roman"/>
          <w:sz w:val="24"/>
          <w:szCs w:val="24"/>
          <w:lang w:val="kk-KZ" w:eastAsia="ru-RU"/>
        </w:rPr>
        <w:t xml:space="preserve"> </w:t>
      </w:r>
      <w:r w:rsidRPr="008621E8">
        <w:rPr>
          <w:rFonts w:ascii="Times New Roman" w:eastAsia="TimesNewRomanPSMT" w:hAnsi="Times New Roman"/>
          <w:sz w:val="24"/>
          <w:szCs w:val="24"/>
          <w:lang w:eastAsia="ru-RU"/>
        </w:rPr>
        <w:t>(Kolliphor fine)</w:t>
      </w:r>
    </w:p>
    <w:p w14:paraId="340D8DB0" w14:textId="77777777" w:rsidR="00D37532" w:rsidRDefault="00D37532" w:rsidP="00D3753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D37532">
        <w:rPr>
          <w:rFonts w:ascii="Times New Roman" w:eastAsia="TimesNewRomanPSMT" w:hAnsi="Times New Roman"/>
          <w:sz w:val="24"/>
          <w:szCs w:val="24"/>
          <w:lang w:eastAsia="ru-RU"/>
        </w:rPr>
        <w:t>Натрия кроскармеллоза</w:t>
      </w:r>
    </w:p>
    <w:p w14:paraId="0701691D" w14:textId="77777777" w:rsidR="00D37532" w:rsidRDefault="00D37532" w:rsidP="00D3753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D37532">
        <w:rPr>
          <w:rFonts w:ascii="Times New Roman" w:eastAsia="TimesNewRomanPSMT" w:hAnsi="Times New Roman"/>
          <w:sz w:val="24"/>
          <w:szCs w:val="24"/>
          <w:lang w:eastAsia="ru-RU"/>
        </w:rPr>
        <w:t>Магния стеарат</w:t>
      </w:r>
    </w:p>
    <w:p w14:paraId="5C2A3EA5" w14:textId="77777777" w:rsidR="00D37532" w:rsidRDefault="00D37532" w:rsidP="00D3753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D37532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>Пленочное покрытие</w:t>
      </w:r>
    </w:p>
    <w:p w14:paraId="5BB23A39" w14:textId="77777777" w:rsidR="00D37532" w:rsidRDefault="00D37532" w:rsidP="00D3753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D37532">
        <w:rPr>
          <w:rFonts w:ascii="Times New Roman" w:eastAsia="TimesNewRomanPSMT" w:hAnsi="Times New Roman"/>
          <w:sz w:val="24"/>
          <w:szCs w:val="24"/>
          <w:lang w:eastAsia="ru-RU"/>
        </w:rPr>
        <w:t>Опадрай коричневый (03F565212):</w:t>
      </w:r>
    </w:p>
    <w:p w14:paraId="5F708754" w14:textId="77777777" w:rsidR="00D37532" w:rsidRDefault="00D37532" w:rsidP="00D3753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val="kk-KZ" w:eastAsia="ru-RU"/>
        </w:rPr>
        <w:t>г</w:t>
      </w:r>
      <w:r w:rsidRPr="00D37532">
        <w:rPr>
          <w:rFonts w:ascii="Times New Roman" w:eastAsia="TimesNewRomanPSMT" w:hAnsi="Times New Roman"/>
          <w:sz w:val="24"/>
          <w:szCs w:val="24"/>
          <w:lang w:eastAsia="ru-RU"/>
        </w:rPr>
        <w:t>ипромеллоза</w:t>
      </w:r>
    </w:p>
    <w:p w14:paraId="7B048D8F" w14:textId="77777777" w:rsidR="00D37532" w:rsidRDefault="00D37532" w:rsidP="00D3753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D37532">
        <w:rPr>
          <w:rFonts w:ascii="Times New Roman" w:eastAsia="TimesNewRomanPSMT" w:hAnsi="Times New Roman"/>
          <w:sz w:val="24"/>
          <w:szCs w:val="24"/>
          <w:lang w:eastAsia="ru-RU"/>
        </w:rPr>
        <w:t>титана диоксид (Е 171)</w:t>
      </w:r>
    </w:p>
    <w:p w14:paraId="77871179" w14:textId="13B65408" w:rsidR="00D641FA" w:rsidRDefault="00D37532" w:rsidP="00D3753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D37532">
        <w:rPr>
          <w:rFonts w:ascii="Times New Roman" w:eastAsia="TimesNewRomanPSMT" w:hAnsi="Times New Roman"/>
          <w:sz w:val="24"/>
          <w:szCs w:val="24"/>
          <w:lang w:eastAsia="ru-RU"/>
        </w:rPr>
        <w:t>макрогол/полиэтиленгликоль</w:t>
      </w:r>
    </w:p>
    <w:p w14:paraId="382719D4" w14:textId="54C28129" w:rsidR="00D37532" w:rsidRDefault="00D37532" w:rsidP="00D3753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D37532">
        <w:rPr>
          <w:rFonts w:ascii="Times New Roman" w:eastAsia="TimesNewRomanPSMT" w:hAnsi="Times New Roman"/>
          <w:sz w:val="24"/>
          <w:szCs w:val="24"/>
          <w:lang w:eastAsia="ru-RU"/>
        </w:rPr>
        <w:t>железа оксид красный (Е 172)</w:t>
      </w:r>
    </w:p>
    <w:p w14:paraId="44E1DBF5" w14:textId="77777777" w:rsidR="00D641FA" w:rsidRDefault="00D641FA" w:rsidP="00D3753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4F16BD98" w14:textId="77777777" w:rsidR="00DF3381" w:rsidRPr="008C2E13" w:rsidRDefault="00DF3381" w:rsidP="00D3753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C2E13">
        <w:rPr>
          <w:rFonts w:ascii="Times New Roman" w:hAnsi="Times New Roman"/>
          <w:b/>
          <w:sz w:val="24"/>
          <w:szCs w:val="24"/>
          <w:lang w:eastAsia="ru-RU"/>
        </w:rPr>
        <w:t xml:space="preserve">6.2. </w:t>
      </w:r>
      <w:r w:rsidRPr="008C2E13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3674596B" w14:textId="27C02C95" w:rsidR="00215CBB" w:rsidRDefault="00143953" w:rsidP="00215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val="kk-KZ" w:eastAsia="ru-RU"/>
        </w:rPr>
      </w:pPr>
      <w:r>
        <w:rPr>
          <w:rFonts w:ascii="Times New Roman" w:eastAsia="TimesNewRomanPSMT" w:hAnsi="Times New Roman"/>
          <w:sz w:val="24"/>
          <w:szCs w:val="24"/>
          <w:lang w:val="kk-KZ" w:eastAsia="ru-RU"/>
        </w:rPr>
        <w:t>Не применимо</w:t>
      </w:r>
    </w:p>
    <w:p w14:paraId="127B1D29" w14:textId="77777777" w:rsidR="00D641FA" w:rsidRPr="00143953" w:rsidRDefault="00D641FA" w:rsidP="00215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val="kk-KZ" w:eastAsia="ru-RU"/>
        </w:rPr>
      </w:pPr>
    </w:p>
    <w:p w14:paraId="2897389C" w14:textId="77777777" w:rsidR="009128A3" w:rsidRPr="008C2E13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8C2E13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8C2E13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8C2E13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4C63913D" w14:textId="77777777" w:rsidR="00CE03ED" w:rsidRPr="00AF7B3D" w:rsidRDefault="00143953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bidi="ru-RU"/>
        </w:rPr>
      </w:pPr>
      <w:r>
        <w:rPr>
          <w:rFonts w:ascii="Times New Roman" w:hAnsi="Times New Roman"/>
          <w:sz w:val="24"/>
          <w:szCs w:val="24"/>
          <w:lang w:val="kk-KZ" w:bidi="ru-RU"/>
        </w:rPr>
        <w:t>2 год</w:t>
      </w:r>
      <w:r w:rsidR="00AF7B3D">
        <w:rPr>
          <w:rFonts w:ascii="Times New Roman" w:hAnsi="Times New Roman"/>
          <w:sz w:val="24"/>
          <w:szCs w:val="24"/>
          <w:lang w:val="kk-KZ" w:bidi="ru-RU"/>
        </w:rPr>
        <w:t>а</w:t>
      </w:r>
    </w:p>
    <w:p w14:paraId="22C79F76" w14:textId="181A56E2" w:rsidR="00CE03ED" w:rsidRDefault="00CE03ED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8C2E13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годности.</w:t>
      </w:r>
    </w:p>
    <w:p w14:paraId="4583DD4A" w14:textId="77777777" w:rsidR="00D641FA" w:rsidRPr="008C2E13" w:rsidRDefault="00D641FA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3D4496" w14:textId="77777777" w:rsidR="00632571" w:rsidRPr="008C2E13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8C2E13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4C7D1CB6" w14:textId="4A2AB393" w:rsidR="00632571" w:rsidRPr="008C2E13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4" w:name="_Hlk74647460"/>
      <w:r w:rsidRPr="008C2E13">
        <w:rPr>
          <w:rFonts w:ascii="Times New Roman" w:hAnsi="Times New Roman"/>
          <w:sz w:val="24"/>
          <w:szCs w:val="24"/>
        </w:rPr>
        <w:lastRenderedPageBreak/>
        <w:t xml:space="preserve">Хранить </w:t>
      </w:r>
      <w:r w:rsidR="00D641FA">
        <w:rPr>
          <w:rFonts w:ascii="Times New Roman" w:hAnsi="Times New Roman"/>
          <w:sz w:val="24"/>
          <w:szCs w:val="24"/>
        </w:rPr>
        <w:t xml:space="preserve">в защищенном от света месте </w:t>
      </w:r>
      <w:r w:rsidRPr="008C2E13">
        <w:rPr>
          <w:rFonts w:ascii="Times New Roman" w:hAnsi="Times New Roman"/>
          <w:sz w:val="24"/>
          <w:szCs w:val="24"/>
        </w:rPr>
        <w:t xml:space="preserve">при </w:t>
      </w:r>
      <w:r w:rsidR="00143953" w:rsidRPr="008C2E13">
        <w:rPr>
          <w:rFonts w:ascii="Times New Roman" w:hAnsi="Times New Roman"/>
          <w:sz w:val="24"/>
          <w:szCs w:val="24"/>
        </w:rPr>
        <w:t>температуре не</w:t>
      </w:r>
      <w:r w:rsidR="005921EA" w:rsidRPr="008C2E13">
        <w:rPr>
          <w:rFonts w:ascii="Times New Roman" w:hAnsi="Times New Roman"/>
          <w:sz w:val="24"/>
          <w:szCs w:val="24"/>
        </w:rPr>
        <w:t xml:space="preserve"> выше </w:t>
      </w:r>
      <w:r w:rsidR="00143953">
        <w:rPr>
          <w:rFonts w:ascii="Times New Roman" w:hAnsi="Times New Roman"/>
          <w:sz w:val="24"/>
          <w:szCs w:val="24"/>
          <w:lang w:val="kk-KZ"/>
        </w:rPr>
        <w:t>30</w:t>
      </w:r>
      <w:r w:rsidRPr="008C2E13">
        <w:rPr>
          <w:rFonts w:ascii="Times New Roman" w:hAnsi="Times New Roman"/>
          <w:sz w:val="24"/>
          <w:szCs w:val="24"/>
        </w:rPr>
        <w:t xml:space="preserve">ºС. </w:t>
      </w:r>
    </w:p>
    <w:bookmarkEnd w:id="24"/>
    <w:p w14:paraId="76C3535F" w14:textId="6337D881" w:rsidR="00632571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E13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25" w:name="2175220289"/>
    </w:p>
    <w:p w14:paraId="7079BF5A" w14:textId="77777777" w:rsidR="00D641FA" w:rsidRPr="008C2E13" w:rsidRDefault="00D641FA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25"/>
    <w:p w14:paraId="3E625ADF" w14:textId="77777777" w:rsidR="00B90A1E" w:rsidRPr="008C2E13" w:rsidRDefault="00EC480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C2E13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8C2E1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8C2E13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8C2E13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5E45047C" w14:textId="77777777" w:rsidR="00191927" w:rsidRPr="00191927" w:rsidRDefault="00191927" w:rsidP="00191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bookmarkStart w:id="26" w:name="_Hlk74647443"/>
      <w:r w:rsidRPr="00191927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По 30 или 120 таблеток помещают во флакон из полиэтилена высокой плотности. </w:t>
      </w:r>
    </w:p>
    <w:p w14:paraId="18CA0355" w14:textId="3EF65A02" w:rsidR="00191927" w:rsidRDefault="00191927" w:rsidP="00191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191927">
        <w:rPr>
          <w:rFonts w:ascii="Times New Roman" w:eastAsia="Microsoft Sans Serif" w:hAnsi="Times New Roman"/>
          <w:sz w:val="24"/>
          <w:szCs w:val="24"/>
          <w:lang w:eastAsia="ru-RU" w:bidi="ru-RU"/>
        </w:rPr>
        <w:t>По 1 флакону вместе с инструкцией по медицинскому применению на казахском и русском языках помещают в пачку из картона.</w:t>
      </w:r>
    </w:p>
    <w:p w14:paraId="0BE7E4C8" w14:textId="77777777" w:rsidR="00D641FA" w:rsidRDefault="00D641FA" w:rsidP="00191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</w:p>
    <w:bookmarkEnd w:id="26"/>
    <w:p w14:paraId="18EE9824" w14:textId="77777777" w:rsidR="00B90A1E" w:rsidRPr="008C2E13" w:rsidRDefault="00B90A1E" w:rsidP="00191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8C2E13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8C2E13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8C2E13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8C2E13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8C2E13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8C2E13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14:paraId="144F62C4" w14:textId="77777777" w:rsidR="004C6613" w:rsidRPr="00451D68" w:rsidRDefault="00451D68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Утилизировать в соответствии с утановленными требованиями</w:t>
      </w:r>
      <w:r>
        <w:rPr>
          <w:rFonts w:ascii="Times New Roman" w:hAnsi="Times New Roman"/>
          <w:sz w:val="24"/>
          <w:szCs w:val="24"/>
        </w:rPr>
        <w:t>.</w:t>
      </w:r>
    </w:p>
    <w:p w14:paraId="448CA9D5" w14:textId="77777777" w:rsidR="00724DB0" w:rsidRPr="008C2E13" w:rsidRDefault="004200E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C2E13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8C2E13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8C2E13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8C2E13">
        <w:rPr>
          <w:rFonts w:ascii="Times New Roman" w:hAnsi="Times New Roman"/>
          <w:b/>
          <w:bCs/>
          <w:sz w:val="24"/>
          <w:szCs w:val="24"/>
        </w:rPr>
        <w:t>а</w:t>
      </w:r>
      <w:r w:rsidRPr="008C2E13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8C2E1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35C25CC" w14:textId="77777777" w:rsidR="004200EA" w:rsidRPr="008C2E13" w:rsidRDefault="00724DB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2E13">
        <w:rPr>
          <w:rFonts w:ascii="Times New Roman" w:hAnsi="Times New Roman"/>
          <w:bCs/>
          <w:sz w:val="24"/>
          <w:szCs w:val="24"/>
        </w:rPr>
        <w:t>По рецепту</w:t>
      </w:r>
    </w:p>
    <w:p w14:paraId="6122DFA5" w14:textId="77777777" w:rsidR="00D041C3" w:rsidRPr="008C2E13" w:rsidRDefault="00D041C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EAA34C" w14:textId="77777777" w:rsidR="00120934" w:rsidRPr="008C2E13" w:rsidRDefault="008407E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2E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8C2E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718752BA" w14:textId="77777777" w:rsidR="00451D68" w:rsidRPr="00C256AC" w:rsidRDefault="00451D68" w:rsidP="00451D68">
      <w:pPr>
        <w:pStyle w:val="Style5"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>
        <w:rPr>
          <w:rFonts w:eastAsia="Microsoft Sans Serif"/>
          <w:lang w:val="en-US" w:bidi="ru-RU"/>
        </w:rPr>
        <w:t>BDR</w:t>
      </w:r>
      <w:r w:rsidRPr="00C256AC">
        <w:rPr>
          <w:rFonts w:eastAsia="Microsoft Sans Serif"/>
          <w:lang w:bidi="ru-RU"/>
        </w:rPr>
        <w:t xml:space="preserve"> </w:t>
      </w:r>
      <w:r>
        <w:rPr>
          <w:rFonts w:eastAsia="Microsoft Sans Serif"/>
          <w:lang w:val="en-US" w:bidi="ru-RU"/>
        </w:rPr>
        <w:t>Pharmaceuticals</w:t>
      </w:r>
      <w:r w:rsidRPr="00C256AC">
        <w:rPr>
          <w:rFonts w:eastAsia="Microsoft Sans Serif"/>
          <w:lang w:bidi="ru-RU"/>
        </w:rPr>
        <w:t xml:space="preserve"> </w:t>
      </w:r>
      <w:r>
        <w:rPr>
          <w:rFonts w:eastAsia="Microsoft Sans Serif"/>
          <w:lang w:val="en-US" w:bidi="ru-RU"/>
        </w:rPr>
        <w:t>International</w:t>
      </w:r>
      <w:r w:rsidRPr="00C256AC">
        <w:rPr>
          <w:rFonts w:eastAsia="Microsoft Sans Serif"/>
          <w:lang w:bidi="ru-RU"/>
        </w:rPr>
        <w:t xml:space="preserve"> </w:t>
      </w:r>
      <w:r>
        <w:rPr>
          <w:rFonts w:eastAsia="Microsoft Sans Serif"/>
          <w:lang w:val="en-US" w:bidi="ru-RU"/>
        </w:rPr>
        <w:t>Pvt</w:t>
      </w:r>
      <w:r w:rsidRPr="00C256AC">
        <w:rPr>
          <w:rFonts w:eastAsia="Microsoft Sans Serif"/>
          <w:lang w:bidi="ru-RU"/>
        </w:rPr>
        <w:t xml:space="preserve">. </w:t>
      </w:r>
      <w:r>
        <w:rPr>
          <w:rFonts w:eastAsia="Microsoft Sans Serif"/>
          <w:lang w:val="en-US" w:bidi="ru-RU"/>
        </w:rPr>
        <w:t>Ltd</w:t>
      </w:r>
      <w:r w:rsidRPr="00C256AC">
        <w:rPr>
          <w:rFonts w:eastAsia="Microsoft Sans Serif"/>
          <w:lang w:bidi="ru-RU"/>
        </w:rPr>
        <w:t>.</w:t>
      </w:r>
      <w:r w:rsidR="00EB7C88" w:rsidRPr="00C256AC">
        <w:rPr>
          <w:rFonts w:eastAsia="Microsoft Sans Serif"/>
          <w:lang w:bidi="ru-RU"/>
        </w:rPr>
        <w:t>,</w:t>
      </w:r>
    </w:p>
    <w:p w14:paraId="6F7DABA5" w14:textId="77777777" w:rsidR="00451D68" w:rsidRDefault="00451D68" w:rsidP="00451D68">
      <w:pPr>
        <w:pStyle w:val="Style5"/>
        <w:tabs>
          <w:tab w:val="left" w:pos="7371"/>
        </w:tabs>
        <w:spacing w:line="240" w:lineRule="auto"/>
        <w:rPr>
          <w:rFonts w:eastAsia="Microsoft Sans Serif"/>
          <w:lang w:val="en-US" w:bidi="ru-RU"/>
        </w:rPr>
      </w:pPr>
      <w:r>
        <w:rPr>
          <w:rFonts w:eastAsia="Microsoft Sans Serif"/>
          <w:lang w:val="en-US" w:bidi="ru-RU"/>
        </w:rPr>
        <w:t xml:space="preserve">R.S. No: 578, Near Effluent Channel Road, Village: Luna, </w:t>
      </w:r>
    </w:p>
    <w:p w14:paraId="432EBF5E" w14:textId="4557C855" w:rsidR="00451D68" w:rsidRPr="00EB7C88" w:rsidRDefault="00451D68" w:rsidP="00451D68">
      <w:pPr>
        <w:pStyle w:val="Style5"/>
        <w:tabs>
          <w:tab w:val="left" w:pos="7371"/>
        </w:tabs>
        <w:spacing w:line="240" w:lineRule="auto"/>
        <w:rPr>
          <w:rFonts w:eastAsia="Microsoft Sans Serif"/>
          <w:lang w:val="en-US" w:bidi="ru-RU"/>
        </w:rPr>
      </w:pPr>
      <w:r>
        <w:rPr>
          <w:rFonts w:eastAsia="Microsoft Sans Serif"/>
          <w:lang w:val="en-US" w:bidi="ru-RU"/>
        </w:rPr>
        <w:t>Taluka</w:t>
      </w:r>
      <w:r w:rsidRPr="00EB7C88">
        <w:rPr>
          <w:rFonts w:eastAsia="Microsoft Sans Serif"/>
          <w:lang w:val="en-US" w:bidi="ru-RU"/>
        </w:rPr>
        <w:t xml:space="preserve">: </w:t>
      </w:r>
      <w:r>
        <w:rPr>
          <w:rFonts w:eastAsia="Microsoft Sans Serif"/>
          <w:lang w:val="en-US" w:bidi="ru-RU"/>
        </w:rPr>
        <w:t>Padra</w:t>
      </w:r>
      <w:r w:rsidRPr="00EB7C88">
        <w:rPr>
          <w:rFonts w:eastAsia="Microsoft Sans Serif"/>
          <w:lang w:val="en-US" w:bidi="ru-RU"/>
        </w:rPr>
        <w:t xml:space="preserve">, </w:t>
      </w:r>
      <w:r>
        <w:rPr>
          <w:rFonts w:eastAsia="Microsoft Sans Serif"/>
          <w:lang w:val="en-US" w:bidi="ru-RU"/>
        </w:rPr>
        <w:t>District</w:t>
      </w:r>
      <w:r w:rsidRPr="00EB7C88">
        <w:rPr>
          <w:rFonts w:eastAsia="Microsoft Sans Serif"/>
          <w:lang w:val="en-US" w:bidi="ru-RU"/>
        </w:rPr>
        <w:t xml:space="preserve">: </w:t>
      </w:r>
      <w:r>
        <w:rPr>
          <w:rFonts w:eastAsia="Microsoft Sans Serif"/>
          <w:lang w:val="en-US" w:bidi="ru-RU"/>
        </w:rPr>
        <w:t>Vadodara</w:t>
      </w:r>
      <w:r w:rsidR="00AE6737" w:rsidRPr="00795E1C">
        <w:rPr>
          <w:rFonts w:eastAsia="Microsoft Sans Serif"/>
          <w:lang w:val="en-US" w:bidi="ru-RU"/>
        </w:rPr>
        <w:t>/</w:t>
      </w:r>
      <w:r w:rsidR="00AE6737">
        <w:rPr>
          <w:rFonts w:eastAsia="Microsoft Sans Serif"/>
          <w:lang w:bidi="ru-RU"/>
        </w:rPr>
        <w:t>Вадодара</w:t>
      </w:r>
      <w:r w:rsidRPr="00EB7C88">
        <w:rPr>
          <w:rFonts w:eastAsia="Microsoft Sans Serif"/>
          <w:lang w:val="en-US" w:bidi="ru-RU"/>
        </w:rPr>
        <w:t xml:space="preserve"> – 391</w:t>
      </w:r>
      <w:r w:rsidR="00320D7B" w:rsidRPr="00EB7C88">
        <w:rPr>
          <w:rFonts w:eastAsia="Microsoft Sans Serif"/>
          <w:lang w:val="en-US" w:bidi="ru-RU"/>
        </w:rPr>
        <w:t xml:space="preserve"> </w:t>
      </w:r>
      <w:r w:rsidRPr="00EB7C88">
        <w:rPr>
          <w:rFonts w:eastAsia="Microsoft Sans Serif"/>
          <w:lang w:val="en-US" w:bidi="ru-RU"/>
        </w:rPr>
        <w:t>440</w:t>
      </w:r>
      <w:r w:rsidR="00320D7B" w:rsidRPr="00EB7C88">
        <w:rPr>
          <w:rFonts w:eastAsia="Microsoft Sans Serif"/>
          <w:lang w:val="en-US" w:bidi="ru-RU"/>
        </w:rPr>
        <w:t xml:space="preserve">, </w:t>
      </w:r>
      <w:r>
        <w:rPr>
          <w:rFonts w:eastAsia="Microsoft Sans Serif"/>
          <w:lang w:bidi="ru-RU"/>
        </w:rPr>
        <w:t>Индия</w:t>
      </w:r>
      <w:r w:rsidRPr="00EB7C88">
        <w:rPr>
          <w:rFonts w:eastAsia="Microsoft Sans Serif"/>
          <w:lang w:val="en-US" w:bidi="ru-RU"/>
        </w:rPr>
        <w:t>.</w:t>
      </w:r>
    </w:p>
    <w:p w14:paraId="73705EAC" w14:textId="3E4AC825" w:rsidR="00451D68" w:rsidRPr="00D641FA" w:rsidRDefault="00451D68" w:rsidP="00451D68">
      <w:pPr>
        <w:pStyle w:val="Style5"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>
        <w:rPr>
          <w:rFonts w:eastAsia="Microsoft Sans Serif"/>
          <w:lang w:bidi="ru-RU"/>
        </w:rPr>
        <w:t>Тел</w:t>
      </w:r>
      <w:r w:rsidRPr="00451D68">
        <w:rPr>
          <w:rFonts w:eastAsia="Microsoft Sans Serif"/>
          <w:lang w:bidi="ru-RU"/>
        </w:rPr>
        <w:t xml:space="preserve">. +91 22 4056 0560, </w:t>
      </w:r>
      <w:hyperlink r:id="rId9" w:history="1">
        <w:r w:rsidR="00D641FA" w:rsidRPr="00C55112">
          <w:rPr>
            <w:rStyle w:val="af"/>
            <w:rFonts w:eastAsia="Microsoft Sans Serif"/>
            <w:lang w:val="en-US" w:bidi="ru-RU"/>
          </w:rPr>
          <w:t>bdrpharma</w:t>
        </w:r>
        <w:r w:rsidR="00D641FA" w:rsidRPr="00C55112">
          <w:rPr>
            <w:rStyle w:val="af"/>
            <w:rFonts w:eastAsia="Microsoft Sans Serif"/>
            <w:lang w:bidi="ru-RU"/>
          </w:rPr>
          <w:t>@</w:t>
        </w:r>
        <w:r w:rsidR="00D641FA" w:rsidRPr="00C55112">
          <w:rPr>
            <w:rStyle w:val="af"/>
            <w:rFonts w:eastAsia="Microsoft Sans Serif"/>
            <w:lang w:val="en-US" w:bidi="ru-RU"/>
          </w:rPr>
          <w:t>vsnl</w:t>
        </w:r>
        <w:r w:rsidR="00D641FA" w:rsidRPr="00C55112">
          <w:rPr>
            <w:rStyle w:val="af"/>
            <w:rFonts w:eastAsia="Microsoft Sans Serif"/>
            <w:lang w:bidi="ru-RU"/>
          </w:rPr>
          <w:t>.</w:t>
        </w:r>
        <w:r w:rsidR="00D641FA" w:rsidRPr="00C55112">
          <w:rPr>
            <w:rStyle w:val="af"/>
            <w:rFonts w:eastAsia="Microsoft Sans Serif"/>
            <w:lang w:val="en-US" w:bidi="ru-RU"/>
          </w:rPr>
          <w:t>com</w:t>
        </w:r>
      </w:hyperlink>
    </w:p>
    <w:p w14:paraId="42B768DD" w14:textId="77777777" w:rsidR="00D641FA" w:rsidRPr="00451D68" w:rsidRDefault="00D641FA" w:rsidP="00451D68">
      <w:pPr>
        <w:pStyle w:val="Style5"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74F6059C" w14:textId="77777777" w:rsidR="00593F7B" w:rsidRPr="008C2E13" w:rsidRDefault="00593F7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C2E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7.1. ПРЕДСТАВИТЕЛЬ ДЕРЖАТЕЛЯ РЕГИСТРАЦИОННОГО УДОСТОВЕРЕНИЯ</w:t>
      </w:r>
    </w:p>
    <w:p w14:paraId="1D4221EB" w14:textId="77777777" w:rsidR="00451D68" w:rsidRPr="00451D68" w:rsidRDefault="00451D68" w:rsidP="00451D68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451D68">
        <w:rPr>
          <w:rFonts w:ascii="Times New Roman" w:eastAsia="Microsoft Sans Serif" w:hAnsi="Times New Roman"/>
          <w:sz w:val="24"/>
          <w:szCs w:val="24"/>
          <w:lang w:eastAsia="ru-RU" w:bidi="ru-RU"/>
        </w:rPr>
        <w:t>Претензии потребителей направлять по адресу:</w:t>
      </w:r>
    </w:p>
    <w:p w14:paraId="1A11FBCE" w14:textId="597D2971" w:rsidR="00D641FA" w:rsidRDefault="00451D68" w:rsidP="00451D68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451D68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ТОО </w:t>
      </w:r>
      <w:r w:rsidR="00795E1C">
        <w:rPr>
          <w:rFonts w:ascii="Times New Roman" w:eastAsia="Microsoft Sans Serif" w:hAnsi="Times New Roman"/>
          <w:sz w:val="24"/>
          <w:szCs w:val="24"/>
          <w:lang w:eastAsia="ru-RU" w:bidi="ru-RU"/>
        </w:rPr>
        <w:t>«</w:t>
      </w:r>
      <w:r w:rsidRPr="00451D68">
        <w:rPr>
          <w:rFonts w:ascii="Times New Roman" w:eastAsia="Microsoft Sans Serif" w:hAnsi="Times New Roman"/>
          <w:sz w:val="24"/>
          <w:szCs w:val="24"/>
          <w:lang w:eastAsia="ru-RU" w:bidi="ru-RU"/>
        </w:rPr>
        <w:t>Rogers Pharma</w:t>
      </w:r>
      <w:r w:rsidR="00795E1C">
        <w:rPr>
          <w:rFonts w:ascii="Times New Roman" w:eastAsia="Microsoft Sans Serif" w:hAnsi="Times New Roman"/>
          <w:sz w:val="24"/>
          <w:szCs w:val="24"/>
          <w:lang w:eastAsia="ru-RU" w:bidi="ru-RU"/>
        </w:rPr>
        <w:t>»</w:t>
      </w:r>
      <w:r w:rsidRPr="00451D68">
        <w:rPr>
          <w:rFonts w:ascii="Times New Roman" w:eastAsia="Microsoft Sans Serif" w:hAnsi="Times New Roman"/>
          <w:sz w:val="24"/>
          <w:szCs w:val="24"/>
          <w:lang w:eastAsia="ru-RU" w:bidi="ru-RU"/>
        </w:rPr>
        <w:t>, Республика Казахстан, 050043, г. Алматы, мкн. Мирас, 157, н.п. 819.</w:t>
      </w:r>
      <w:r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451D68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Тел. +7 727 3118196/97, </w:t>
      </w:r>
      <w:hyperlink r:id="rId10" w:history="1">
        <w:r w:rsidR="00D641FA" w:rsidRPr="00C55112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o</w:t>
        </w:r>
        <w:r w:rsidR="00D641FA" w:rsidRPr="00C55112">
          <w:rPr>
            <w:rStyle w:val="af"/>
            <w:rFonts w:ascii="Times New Roman" w:eastAsia="Microsoft Sans Serif" w:hAnsi="Times New Roman"/>
            <w:sz w:val="24"/>
            <w:szCs w:val="24"/>
            <w:lang w:eastAsia="ru-RU" w:bidi="ru-RU"/>
          </w:rPr>
          <w:t>ffice.secretary@rogersgroup.in</w:t>
        </w:r>
      </w:hyperlink>
    </w:p>
    <w:p w14:paraId="787B7324" w14:textId="77777777" w:rsidR="00D641FA" w:rsidRPr="00451D68" w:rsidRDefault="00D641FA" w:rsidP="00451D68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</w:p>
    <w:p w14:paraId="591D4D91" w14:textId="77777777" w:rsidR="002511DF" w:rsidRPr="009F7647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2E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8. </w:t>
      </w:r>
      <w:r w:rsidRPr="008C2E13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НОМЕР</w:t>
      </w:r>
      <w:r w:rsidRPr="008C2E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8C2E13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РЕГИСТРАЦИОННОГО</w:t>
      </w:r>
      <w:r w:rsidRPr="008C2E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8C2E13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УДОСТОВЕРЕНИЯ</w:t>
      </w:r>
    </w:p>
    <w:p w14:paraId="54359562" w14:textId="77777777" w:rsidR="009F7647" w:rsidRPr="008C2E13" w:rsidRDefault="009F7647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6B0BC0D" w14:textId="77777777" w:rsidR="002511DF" w:rsidRPr="008C2E13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C2E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9. </w:t>
      </w:r>
      <w:r w:rsidRPr="008C2E13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ДАТА</w:t>
      </w:r>
      <w:r w:rsidRPr="008C2E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8C2E13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ПЕРВИЧНОЙ</w:t>
      </w:r>
      <w:r w:rsidRPr="008C2E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8C2E13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8C2E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(</w:t>
      </w:r>
      <w:r w:rsidRPr="008C2E13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ПОДТВЕРЖДЕНИЯ</w:t>
      </w:r>
      <w:r w:rsidRPr="008C2E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8C2E13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8C2E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, </w:t>
      </w:r>
      <w:r w:rsidRPr="008C2E13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ПЕРЕРЕГИСТРАЦИИ</w:t>
      </w:r>
      <w:r w:rsidRPr="008C2E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)</w:t>
      </w:r>
    </w:p>
    <w:p w14:paraId="652B0454" w14:textId="77777777" w:rsidR="009F7647" w:rsidRPr="008C2E13" w:rsidRDefault="009F7647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3E5200E7" w14:textId="77777777" w:rsidR="00DF47EB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8C2E13">
        <w:rPr>
          <w:rFonts w:ascii="Times New Roman" w:hAnsi="Times New Roman"/>
          <w:b/>
          <w:sz w:val="24"/>
          <w:szCs w:val="24"/>
        </w:rPr>
        <w:t xml:space="preserve">10. </w:t>
      </w:r>
      <w:r w:rsidRPr="008C2E13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6AF97774" w14:textId="77777777" w:rsidR="009F7647" w:rsidRPr="008C2E13" w:rsidRDefault="009F7647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7F689FAA" w14:textId="77777777" w:rsidR="00B91443" w:rsidRPr="008C2E13" w:rsidRDefault="00B91443" w:rsidP="00724DB0">
      <w:pPr>
        <w:spacing w:after="0" w:line="240" w:lineRule="auto"/>
        <w:jc w:val="both"/>
        <w:rPr>
          <w:rFonts w:eastAsia="Microsoft Sans Serif"/>
          <w:sz w:val="24"/>
          <w:szCs w:val="24"/>
          <w:lang w:bidi="ru-RU"/>
        </w:rPr>
      </w:pPr>
      <w:r w:rsidRPr="008C2E13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1" w:history="1">
        <w:r w:rsidRPr="008C2E13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8C2E13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8C2E13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8C2E13">
          <w:rPr>
            <w:rStyle w:val="af"/>
            <w:rFonts w:ascii="Times New Roman" w:hAnsi="Times New Roman"/>
            <w:sz w:val="24"/>
            <w:szCs w:val="24"/>
          </w:rPr>
          <w:t>.</w:t>
        </w:r>
        <w:r w:rsidRPr="008C2E13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r w:rsidRPr="008C2E13">
          <w:rPr>
            <w:rStyle w:val="af"/>
            <w:rFonts w:ascii="Times New Roman" w:hAnsi="Times New Roman"/>
            <w:sz w:val="24"/>
            <w:szCs w:val="24"/>
          </w:rPr>
          <w:t>.</w:t>
        </w:r>
        <w:r w:rsidRPr="008C2E13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</w:hyperlink>
      <w:r w:rsidRPr="008C2E13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8C2E13" w:rsidSect="00F97B57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6904" w14:textId="77777777" w:rsidR="005C1821" w:rsidRDefault="005C1821" w:rsidP="00D275FC">
      <w:pPr>
        <w:spacing w:after="0" w:line="240" w:lineRule="auto"/>
      </w:pPr>
      <w:r>
        <w:separator/>
      </w:r>
    </w:p>
  </w:endnote>
  <w:endnote w:type="continuationSeparator" w:id="0">
    <w:p w14:paraId="7B1DD7EE" w14:textId="77777777" w:rsidR="005C1821" w:rsidRDefault="005C1821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68BD" w14:textId="77777777" w:rsidR="005C1821" w:rsidRDefault="005C1821" w:rsidP="00D275FC">
      <w:pPr>
        <w:spacing w:after="0" w:line="240" w:lineRule="auto"/>
      </w:pPr>
      <w:r>
        <w:separator/>
      </w:r>
    </w:p>
  </w:footnote>
  <w:footnote w:type="continuationSeparator" w:id="0">
    <w:p w14:paraId="0CC37590" w14:textId="77777777" w:rsidR="005C1821" w:rsidRDefault="005C1821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43ED" w14:textId="77777777" w:rsidR="00D275FC" w:rsidRDefault="00162753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5D4FA1" wp14:editId="2CC48ED5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A855D4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D4FA1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0BA855D4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Описание: Description: BT_1000x858px" style="width:15.6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E2807"/>
    <w:multiLevelType w:val="hybridMultilevel"/>
    <w:tmpl w:val="E9C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20"/>
  </w:num>
  <w:num w:numId="5">
    <w:abstractNumId w:val="25"/>
  </w:num>
  <w:num w:numId="6">
    <w:abstractNumId w:val="6"/>
  </w:num>
  <w:num w:numId="7">
    <w:abstractNumId w:val="23"/>
  </w:num>
  <w:num w:numId="8">
    <w:abstractNumId w:val="8"/>
  </w:num>
  <w:num w:numId="9">
    <w:abstractNumId w:val="17"/>
  </w:num>
  <w:num w:numId="10">
    <w:abstractNumId w:val="9"/>
  </w:num>
  <w:num w:numId="11">
    <w:abstractNumId w:val="16"/>
  </w:num>
  <w:num w:numId="12">
    <w:abstractNumId w:val="19"/>
  </w:num>
  <w:num w:numId="13">
    <w:abstractNumId w:val="21"/>
  </w:num>
  <w:num w:numId="14">
    <w:abstractNumId w:val="12"/>
  </w:num>
  <w:num w:numId="15">
    <w:abstractNumId w:val="1"/>
  </w:num>
  <w:num w:numId="16">
    <w:abstractNumId w:val="24"/>
  </w:num>
  <w:num w:numId="17">
    <w:abstractNumId w:val="15"/>
  </w:num>
  <w:num w:numId="18">
    <w:abstractNumId w:val="14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2"/>
  </w:num>
  <w:num w:numId="24">
    <w:abstractNumId w:val="11"/>
  </w:num>
  <w:num w:numId="25">
    <w:abstractNumId w:val="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C99"/>
    <w:rsid w:val="00010371"/>
    <w:rsid w:val="0002049D"/>
    <w:rsid w:val="00024ACC"/>
    <w:rsid w:val="000264BB"/>
    <w:rsid w:val="00026A9C"/>
    <w:rsid w:val="00033FC1"/>
    <w:rsid w:val="00042999"/>
    <w:rsid w:val="0005238D"/>
    <w:rsid w:val="00077DB7"/>
    <w:rsid w:val="000852A1"/>
    <w:rsid w:val="00091CE9"/>
    <w:rsid w:val="000972E6"/>
    <w:rsid w:val="000A0D71"/>
    <w:rsid w:val="000A15B0"/>
    <w:rsid w:val="000A272B"/>
    <w:rsid w:val="000A2DD5"/>
    <w:rsid w:val="000C2C4B"/>
    <w:rsid w:val="000C3EBE"/>
    <w:rsid w:val="000C4C48"/>
    <w:rsid w:val="000C50D9"/>
    <w:rsid w:val="000D184E"/>
    <w:rsid w:val="000D457D"/>
    <w:rsid w:val="000E01AB"/>
    <w:rsid w:val="000E153C"/>
    <w:rsid w:val="000E3634"/>
    <w:rsid w:val="000E49F0"/>
    <w:rsid w:val="000E6126"/>
    <w:rsid w:val="000E7FBD"/>
    <w:rsid w:val="00100406"/>
    <w:rsid w:val="00107A8A"/>
    <w:rsid w:val="00110A53"/>
    <w:rsid w:val="00111788"/>
    <w:rsid w:val="00116AD1"/>
    <w:rsid w:val="00120934"/>
    <w:rsid w:val="00123DB5"/>
    <w:rsid w:val="00125232"/>
    <w:rsid w:val="00127BDA"/>
    <w:rsid w:val="00131A3E"/>
    <w:rsid w:val="00132B9A"/>
    <w:rsid w:val="001368AE"/>
    <w:rsid w:val="00136EE1"/>
    <w:rsid w:val="00143953"/>
    <w:rsid w:val="00144CCD"/>
    <w:rsid w:val="0014699B"/>
    <w:rsid w:val="0014739A"/>
    <w:rsid w:val="0015490C"/>
    <w:rsid w:val="001573E2"/>
    <w:rsid w:val="00162753"/>
    <w:rsid w:val="0016278D"/>
    <w:rsid w:val="00164E5D"/>
    <w:rsid w:val="001657F3"/>
    <w:rsid w:val="001872CE"/>
    <w:rsid w:val="00191927"/>
    <w:rsid w:val="001937AD"/>
    <w:rsid w:val="001A2CB2"/>
    <w:rsid w:val="001A3A84"/>
    <w:rsid w:val="001B6AEC"/>
    <w:rsid w:val="001C562F"/>
    <w:rsid w:val="001D0B84"/>
    <w:rsid w:val="001E5C62"/>
    <w:rsid w:val="001E5E2A"/>
    <w:rsid w:val="001E6F4C"/>
    <w:rsid w:val="001F16AA"/>
    <w:rsid w:val="001F2D6A"/>
    <w:rsid w:val="00200F3B"/>
    <w:rsid w:val="00203355"/>
    <w:rsid w:val="0020414E"/>
    <w:rsid w:val="00210648"/>
    <w:rsid w:val="00211005"/>
    <w:rsid w:val="0021309A"/>
    <w:rsid w:val="00215CBB"/>
    <w:rsid w:val="00217D41"/>
    <w:rsid w:val="002222A9"/>
    <w:rsid w:val="00222CA6"/>
    <w:rsid w:val="00232642"/>
    <w:rsid w:val="00235EA3"/>
    <w:rsid w:val="00237697"/>
    <w:rsid w:val="002410EA"/>
    <w:rsid w:val="002477C0"/>
    <w:rsid w:val="0025095A"/>
    <w:rsid w:val="00250EDB"/>
    <w:rsid w:val="002511DF"/>
    <w:rsid w:val="00253209"/>
    <w:rsid w:val="00253FB5"/>
    <w:rsid w:val="002550C3"/>
    <w:rsid w:val="00256E10"/>
    <w:rsid w:val="00260413"/>
    <w:rsid w:val="00260EBC"/>
    <w:rsid w:val="00264710"/>
    <w:rsid w:val="00264A6E"/>
    <w:rsid w:val="00267567"/>
    <w:rsid w:val="00270B0A"/>
    <w:rsid w:val="00280121"/>
    <w:rsid w:val="00281FBE"/>
    <w:rsid w:val="00290D2E"/>
    <w:rsid w:val="00292715"/>
    <w:rsid w:val="002A591C"/>
    <w:rsid w:val="002B0AD9"/>
    <w:rsid w:val="002B12A2"/>
    <w:rsid w:val="002C10E1"/>
    <w:rsid w:val="002C15EB"/>
    <w:rsid w:val="002C1660"/>
    <w:rsid w:val="002C2F2F"/>
    <w:rsid w:val="002C35A2"/>
    <w:rsid w:val="002C5345"/>
    <w:rsid w:val="002D0266"/>
    <w:rsid w:val="002D56B7"/>
    <w:rsid w:val="002E034D"/>
    <w:rsid w:val="002E04B7"/>
    <w:rsid w:val="002E0BAD"/>
    <w:rsid w:val="002E32B0"/>
    <w:rsid w:val="002E7612"/>
    <w:rsid w:val="002F4A14"/>
    <w:rsid w:val="003043BF"/>
    <w:rsid w:val="00320073"/>
    <w:rsid w:val="00320D7B"/>
    <w:rsid w:val="003262DF"/>
    <w:rsid w:val="00332951"/>
    <w:rsid w:val="00337382"/>
    <w:rsid w:val="0034682B"/>
    <w:rsid w:val="00356237"/>
    <w:rsid w:val="003579FF"/>
    <w:rsid w:val="0036288F"/>
    <w:rsid w:val="00365B10"/>
    <w:rsid w:val="00367BA7"/>
    <w:rsid w:val="00372082"/>
    <w:rsid w:val="003761C0"/>
    <w:rsid w:val="00381140"/>
    <w:rsid w:val="003812B2"/>
    <w:rsid w:val="00383CDB"/>
    <w:rsid w:val="00384EFD"/>
    <w:rsid w:val="0038595A"/>
    <w:rsid w:val="003879F9"/>
    <w:rsid w:val="003976C7"/>
    <w:rsid w:val="003A035E"/>
    <w:rsid w:val="003A577F"/>
    <w:rsid w:val="003B0285"/>
    <w:rsid w:val="003B5B85"/>
    <w:rsid w:val="003C07E3"/>
    <w:rsid w:val="003C240F"/>
    <w:rsid w:val="003C659E"/>
    <w:rsid w:val="003D7780"/>
    <w:rsid w:val="003E13CF"/>
    <w:rsid w:val="003E1657"/>
    <w:rsid w:val="003E4F5E"/>
    <w:rsid w:val="003F5344"/>
    <w:rsid w:val="003F7EDC"/>
    <w:rsid w:val="00404548"/>
    <w:rsid w:val="0041162E"/>
    <w:rsid w:val="004125D8"/>
    <w:rsid w:val="00412F38"/>
    <w:rsid w:val="00416507"/>
    <w:rsid w:val="004200EA"/>
    <w:rsid w:val="0042786D"/>
    <w:rsid w:val="004318D8"/>
    <w:rsid w:val="00433C62"/>
    <w:rsid w:val="00441C4F"/>
    <w:rsid w:val="00451D68"/>
    <w:rsid w:val="004528E1"/>
    <w:rsid w:val="004530DE"/>
    <w:rsid w:val="00456F01"/>
    <w:rsid w:val="00457E38"/>
    <w:rsid w:val="00472EF5"/>
    <w:rsid w:val="00484394"/>
    <w:rsid w:val="0048687C"/>
    <w:rsid w:val="0049318D"/>
    <w:rsid w:val="004938CF"/>
    <w:rsid w:val="00494E36"/>
    <w:rsid w:val="004A20B7"/>
    <w:rsid w:val="004A31B4"/>
    <w:rsid w:val="004A5126"/>
    <w:rsid w:val="004A7038"/>
    <w:rsid w:val="004B3CF8"/>
    <w:rsid w:val="004C1922"/>
    <w:rsid w:val="004C462F"/>
    <w:rsid w:val="004C6613"/>
    <w:rsid w:val="004D49E9"/>
    <w:rsid w:val="004D7E1A"/>
    <w:rsid w:val="004F45AC"/>
    <w:rsid w:val="00501657"/>
    <w:rsid w:val="00506C9D"/>
    <w:rsid w:val="005071DA"/>
    <w:rsid w:val="00523D82"/>
    <w:rsid w:val="0053501B"/>
    <w:rsid w:val="00540419"/>
    <w:rsid w:val="00541A00"/>
    <w:rsid w:val="005444B2"/>
    <w:rsid w:val="00552F31"/>
    <w:rsid w:val="00552F8B"/>
    <w:rsid w:val="00554013"/>
    <w:rsid w:val="00561FE7"/>
    <w:rsid w:val="00566737"/>
    <w:rsid w:val="00567153"/>
    <w:rsid w:val="00575348"/>
    <w:rsid w:val="0058288C"/>
    <w:rsid w:val="005869C5"/>
    <w:rsid w:val="005921EA"/>
    <w:rsid w:val="005924F5"/>
    <w:rsid w:val="00593F7B"/>
    <w:rsid w:val="00594D05"/>
    <w:rsid w:val="005A3C81"/>
    <w:rsid w:val="005A5680"/>
    <w:rsid w:val="005A6639"/>
    <w:rsid w:val="005A6914"/>
    <w:rsid w:val="005B3FFE"/>
    <w:rsid w:val="005C1519"/>
    <w:rsid w:val="005C1821"/>
    <w:rsid w:val="005C1C4E"/>
    <w:rsid w:val="005C39C9"/>
    <w:rsid w:val="005C4994"/>
    <w:rsid w:val="005C4A16"/>
    <w:rsid w:val="005D06C2"/>
    <w:rsid w:val="005D4F3B"/>
    <w:rsid w:val="005D66F3"/>
    <w:rsid w:val="005D68C6"/>
    <w:rsid w:val="005D7EE3"/>
    <w:rsid w:val="005E50DE"/>
    <w:rsid w:val="005E6FA1"/>
    <w:rsid w:val="005E71D6"/>
    <w:rsid w:val="005E7569"/>
    <w:rsid w:val="005E76DA"/>
    <w:rsid w:val="005F7097"/>
    <w:rsid w:val="0060364A"/>
    <w:rsid w:val="00604FC8"/>
    <w:rsid w:val="00611FEC"/>
    <w:rsid w:val="00617843"/>
    <w:rsid w:val="00620F34"/>
    <w:rsid w:val="00624C1B"/>
    <w:rsid w:val="00625471"/>
    <w:rsid w:val="0062661D"/>
    <w:rsid w:val="00627853"/>
    <w:rsid w:val="00632571"/>
    <w:rsid w:val="00634D0C"/>
    <w:rsid w:val="00637145"/>
    <w:rsid w:val="006450FB"/>
    <w:rsid w:val="00646B62"/>
    <w:rsid w:val="0065148D"/>
    <w:rsid w:val="0065209E"/>
    <w:rsid w:val="00652BCE"/>
    <w:rsid w:val="00652E29"/>
    <w:rsid w:val="00653617"/>
    <w:rsid w:val="00653EE3"/>
    <w:rsid w:val="0067136B"/>
    <w:rsid w:val="00691208"/>
    <w:rsid w:val="006A23C4"/>
    <w:rsid w:val="006A702E"/>
    <w:rsid w:val="006B1751"/>
    <w:rsid w:val="006B7A90"/>
    <w:rsid w:val="006C253D"/>
    <w:rsid w:val="006C5F38"/>
    <w:rsid w:val="006C6625"/>
    <w:rsid w:val="006D5986"/>
    <w:rsid w:val="006D782F"/>
    <w:rsid w:val="006D7C4C"/>
    <w:rsid w:val="006D7D5A"/>
    <w:rsid w:val="006E4305"/>
    <w:rsid w:val="006E6F2D"/>
    <w:rsid w:val="006F5763"/>
    <w:rsid w:val="00704BAB"/>
    <w:rsid w:val="007104D1"/>
    <w:rsid w:val="007135A6"/>
    <w:rsid w:val="00724DB0"/>
    <w:rsid w:val="00725BD2"/>
    <w:rsid w:val="00726BD3"/>
    <w:rsid w:val="00730461"/>
    <w:rsid w:val="00733000"/>
    <w:rsid w:val="00733A73"/>
    <w:rsid w:val="00746FF2"/>
    <w:rsid w:val="007479AE"/>
    <w:rsid w:val="007544F0"/>
    <w:rsid w:val="00761133"/>
    <w:rsid w:val="00761D77"/>
    <w:rsid w:val="00763CE8"/>
    <w:rsid w:val="00764E84"/>
    <w:rsid w:val="007762F8"/>
    <w:rsid w:val="007774FD"/>
    <w:rsid w:val="00783520"/>
    <w:rsid w:val="0078568D"/>
    <w:rsid w:val="00795E1C"/>
    <w:rsid w:val="007A02D3"/>
    <w:rsid w:val="007A18B1"/>
    <w:rsid w:val="007B011E"/>
    <w:rsid w:val="007C055A"/>
    <w:rsid w:val="007C1693"/>
    <w:rsid w:val="007C22D2"/>
    <w:rsid w:val="007D0E84"/>
    <w:rsid w:val="007D681B"/>
    <w:rsid w:val="007E1D85"/>
    <w:rsid w:val="00803517"/>
    <w:rsid w:val="00804A48"/>
    <w:rsid w:val="008106A7"/>
    <w:rsid w:val="0081154A"/>
    <w:rsid w:val="00814DFC"/>
    <w:rsid w:val="00817E71"/>
    <w:rsid w:val="00820B36"/>
    <w:rsid w:val="008231B2"/>
    <w:rsid w:val="00827BB2"/>
    <w:rsid w:val="0083268C"/>
    <w:rsid w:val="008329DA"/>
    <w:rsid w:val="00832A7E"/>
    <w:rsid w:val="008330E7"/>
    <w:rsid w:val="008353A4"/>
    <w:rsid w:val="008407EF"/>
    <w:rsid w:val="008418F5"/>
    <w:rsid w:val="008451C8"/>
    <w:rsid w:val="008467BF"/>
    <w:rsid w:val="00847154"/>
    <w:rsid w:val="008621E8"/>
    <w:rsid w:val="00862FA8"/>
    <w:rsid w:val="0086657B"/>
    <w:rsid w:val="0087104B"/>
    <w:rsid w:val="008832E5"/>
    <w:rsid w:val="008872AB"/>
    <w:rsid w:val="00891EB8"/>
    <w:rsid w:val="0089401D"/>
    <w:rsid w:val="00895628"/>
    <w:rsid w:val="00897669"/>
    <w:rsid w:val="008A0AE6"/>
    <w:rsid w:val="008A213D"/>
    <w:rsid w:val="008B2D5F"/>
    <w:rsid w:val="008C0181"/>
    <w:rsid w:val="008C2E13"/>
    <w:rsid w:val="008C6434"/>
    <w:rsid w:val="008D0B8D"/>
    <w:rsid w:val="008D4451"/>
    <w:rsid w:val="008D62B7"/>
    <w:rsid w:val="008E19AE"/>
    <w:rsid w:val="008E6895"/>
    <w:rsid w:val="008F0721"/>
    <w:rsid w:val="008F3FFE"/>
    <w:rsid w:val="00900B3C"/>
    <w:rsid w:val="00904FB5"/>
    <w:rsid w:val="0091136C"/>
    <w:rsid w:val="009128A3"/>
    <w:rsid w:val="00930D7D"/>
    <w:rsid w:val="00935E83"/>
    <w:rsid w:val="0095047E"/>
    <w:rsid w:val="00956101"/>
    <w:rsid w:val="00957BAF"/>
    <w:rsid w:val="00962CD6"/>
    <w:rsid w:val="00965384"/>
    <w:rsid w:val="00967B37"/>
    <w:rsid w:val="00974EE1"/>
    <w:rsid w:val="00980ED0"/>
    <w:rsid w:val="00985916"/>
    <w:rsid w:val="00986783"/>
    <w:rsid w:val="00993A60"/>
    <w:rsid w:val="009A3D4E"/>
    <w:rsid w:val="009B014E"/>
    <w:rsid w:val="009C0367"/>
    <w:rsid w:val="009D67EC"/>
    <w:rsid w:val="009D71D5"/>
    <w:rsid w:val="009E038E"/>
    <w:rsid w:val="009E2887"/>
    <w:rsid w:val="009E56D6"/>
    <w:rsid w:val="009E5CB9"/>
    <w:rsid w:val="009F07F5"/>
    <w:rsid w:val="009F22EA"/>
    <w:rsid w:val="009F31F2"/>
    <w:rsid w:val="009F45A5"/>
    <w:rsid w:val="009F5A85"/>
    <w:rsid w:val="009F72B0"/>
    <w:rsid w:val="009F7647"/>
    <w:rsid w:val="00A01C2E"/>
    <w:rsid w:val="00A02BB2"/>
    <w:rsid w:val="00A04052"/>
    <w:rsid w:val="00A0709E"/>
    <w:rsid w:val="00A074C5"/>
    <w:rsid w:val="00A075B1"/>
    <w:rsid w:val="00A07B7D"/>
    <w:rsid w:val="00A12563"/>
    <w:rsid w:val="00A13FBD"/>
    <w:rsid w:val="00A2498C"/>
    <w:rsid w:val="00A26BB4"/>
    <w:rsid w:val="00A300B9"/>
    <w:rsid w:val="00A31019"/>
    <w:rsid w:val="00A64CA3"/>
    <w:rsid w:val="00A8360A"/>
    <w:rsid w:val="00A84EA1"/>
    <w:rsid w:val="00A923FD"/>
    <w:rsid w:val="00AA4618"/>
    <w:rsid w:val="00AA5E2F"/>
    <w:rsid w:val="00AA67AA"/>
    <w:rsid w:val="00AA7317"/>
    <w:rsid w:val="00AB0BF2"/>
    <w:rsid w:val="00AB60EC"/>
    <w:rsid w:val="00AC2C0B"/>
    <w:rsid w:val="00AC4905"/>
    <w:rsid w:val="00AD2A30"/>
    <w:rsid w:val="00AD38BD"/>
    <w:rsid w:val="00AE6737"/>
    <w:rsid w:val="00AE7922"/>
    <w:rsid w:val="00AF056B"/>
    <w:rsid w:val="00AF3610"/>
    <w:rsid w:val="00AF7B3D"/>
    <w:rsid w:val="00B01011"/>
    <w:rsid w:val="00B05BD1"/>
    <w:rsid w:val="00B10089"/>
    <w:rsid w:val="00B120BF"/>
    <w:rsid w:val="00B138D5"/>
    <w:rsid w:val="00B21CF0"/>
    <w:rsid w:val="00B22E50"/>
    <w:rsid w:val="00B46F30"/>
    <w:rsid w:val="00B608C1"/>
    <w:rsid w:val="00B60D3D"/>
    <w:rsid w:val="00B61D95"/>
    <w:rsid w:val="00B64569"/>
    <w:rsid w:val="00B7231F"/>
    <w:rsid w:val="00B73732"/>
    <w:rsid w:val="00B90A1E"/>
    <w:rsid w:val="00B91443"/>
    <w:rsid w:val="00B9187F"/>
    <w:rsid w:val="00B95458"/>
    <w:rsid w:val="00BA2BF3"/>
    <w:rsid w:val="00BA714E"/>
    <w:rsid w:val="00BB111F"/>
    <w:rsid w:val="00BB3050"/>
    <w:rsid w:val="00BB7831"/>
    <w:rsid w:val="00BC142F"/>
    <w:rsid w:val="00BC31BC"/>
    <w:rsid w:val="00BC6167"/>
    <w:rsid w:val="00BC6A01"/>
    <w:rsid w:val="00BE198F"/>
    <w:rsid w:val="00BE2D95"/>
    <w:rsid w:val="00BE4435"/>
    <w:rsid w:val="00BE5364"/>
    <w:rsid w:val="00BE67A6"/>
    <w:rsid w:val="00BE6B71"/>
    <w:rsid w:val="00BF287D"/>
    <w:rsid w:val="00C07BB3"/>
    <w:rsid w:val="00C153F2"/>
    <w:rsid w:val="00C2000E"/>
    <w:rsid w:val="00C256AC"/>
    <w:rsid w:val="00C379C9"/>
    <w:rsid w:val="00C422B8"/>
    <w:rsid w:val="00C566D6"/>
    <w:rsid w:val="00C71A75"/>
    <w:rsid w:val="00C71E57"/>
    <w:rsid w:val="00C764D9"/>
    <w:rsid w:val="00C77910"/>
    <w:rsid w:val="00C8051B"/>
    <w:rsid w:val="00C81442"/>
    <w:rsid w:val="00C839ED"/>
    <w:rsid w:val="00C84299"/>
    <w:rsid w:val="00C92F14"/>
    <w:rsid w:val="00C94B98"/>
    <w:rsid w:val="00C97365"/>
    <w:rsid w:val="00CA0297"/>
    <w:rsid w:val="00CA4C1A"/>
    <w:rsid w:val="00CC08BA"/>
    <w:rsid w:val="00CC330A"/>
    <w:rsid w:val="00CC5727"/>
    <w:rsid w:val="00CC7DBD"/>
    <w:rsid w:val="00CD6935"/>
    <w:rsid w:val="00CE03ED"/>
    <w:rsid w:val="00CE7F7F"/>
    <w:rsid w:val="00CF3849"/>
    <w:rsid w:val="00D0233C"/>
    <w:rsid w:val="00D041C3"/>
    <w:rsid w:val="00D11462"/>
    <w:rsid w:val="00D14D61"/>
    <w:rsid w:val="00D161FD"/>
    <w:rsid w:val="00D22A47"/>
    <w:rsid w:val="00D25CB4"/>
    <w:rsid w:val="00D275FC"/>
    <w:rsid w:val="00D3279D"/>
    <w:rsid w:val="00D3576E"/>
    <w:rsid w:val="00D37532"/>
    <w:rsid w:val="00D43297"/>
    <w:rsid w:val="00D46B0B"/>
    <w:rsid w:val="00D55ED8"/>
    <w:rsid w:val="00D60C5A"/>
    <w:rsid w:val="00D641FA"/>
    <w:rsid w:val="00D66168"/>
    <w:rsid w:val="00D67063"/>
    <w:rsid w:val="00D70DB6"/>
    <w:rsid w:val="00D723BC"/>
    <w:rsid w:val="00D76048"/>
    <w:rsid w:val="00D93C80"/>
    <w:rsid w:val="00D950B0"/>
    <w:rsid w:val="00D9686A"/>
    <w:rsid w:val="00D96A8F"/>
    <w:rsid w:val="00DA16F7"/>
    <w:rsid w:val="00DB406A"/>
    <w:rsid w:val="00DB7FB0"/>
    <w:rsid w:val="00DC072B"/>
    <w:rsid w:val="00DC1005"/>
    <w:rsid w:val="00DD3B28"/>
    <w:rsid w:val="00DD5E3A"/>
    <w:rsid w:val="00DE3E89"/>
    <w:rsid w:val="00DE4FC7"/>
    <w:rsid w:val="00DF11A7"/>
    <w:rsid w:val="00DF3381"/>
    <w:rsid w:val="00DF47EB"/>
    <w:rsid w:val="00E14CB6"/>
    <w:rsid w:val="00E211ED"/>
    <w:rsid w:val="00E271CB"/>
    <w:rsid w:val="00E301D0"/>
    <w:rsid w:val="00E317B2"/>
    <w:rsid w:val="00E33FE3"/>
    <w:rsid w:val="00E34FE3"/>
    <w:rsid w:val="00E55D6C"/>
    <w:rsid w:val="00E55EBE"/>
    <w:rsid w:val="00E57396"/>
    <w:rsid w:val="00E75C7F"/>
    <w:rsid w:val="00E75FFF"/>
    <w:rsid w:val="00E81A1B"/>
    <w:rsid w:val="00E81A86"/>
    <w:rsid w:val="00E85A7A"/>
    <w:rsid w:val="00E8607B"/>
    <w:rsid w:val="00E91073"/>
    <w:rsid w:val="00E93583"/>
    <w:rsid w:val="00EA2F86"/>
    <w:rsid w:val="00EA303C"/>
    <w:rsid w:val="00EA6D39"/>
    <w:rsid w:val="00EB06CD"/>
    <w:rsid w:val="00EB1D97"/>
    <w:rsid w:val="00EB32A3"/>
    <w:rsid w:val="00EB41C1"/>
    <w:rsid w:val="00EB7C88"/>
    <w:rsid w:val="00EC480E"/>
    <w:rsid w:val="00EC4E42"/>
    <w:rsid w:val="00ED5862"/>
    <w:rsid w:val="00EE04FB"/>
    <w:rsid w:val="00EE0D0D"/>
    <w:rsid w:val="00EF4C53"/>
    <w:rsid w:val="00EF5F48"/>
    <w:rsid w:val="00F006F1"/>
    <w:rsid w:val="00F0389E"/>
    <w:rsid w:val="00F05540"/>
    <w:rsid w:val="00F07B7B"/>
    <w:rsid w:val="00F23B95"/>
    <w:rsid w:val="00F34699"/>
    <w:rsid w:val="00F40388"/>
    <w:rsid w:val="00F42D3C"/>
    <w:rsid w:val="00F444B7"/>
    <w:rsid w:val="00F47DBB"/>
    <w:rsid w:val="00F56F75"/>
    <w:rsid w:val="00F6012B"/>
    <w:rsid w:val="00F63389"/>
    <w:rsid w:val="00F637E0"/>
    <w:rsid w:val="00F64ADD"/>
    <w:rsid w:val="00F665E0"/>
    <w:rsid w:val="00F829DB"/>
    <w:rsid w:val="00F85DB3"/>
    <w:rsid w:val="00F91977"/>
    <w:rsid w:val="00F91FDF"/>
    <w:rsid w:val="00F97B57"/>
    <w:rsid w:val="00FA4F7C"/>
    <w:rsid w:val="00FB0456"/>
    <w:rsid w:val="00FB47F4"/>
    <w:rsid w:val="00FB6834"/>
    <w:rsid w:val="00FC17F4"/>
    <w:rsid w:val="00FD2B12"/>
    <w:rsid w:val="00FD2B9F"/>
    <w:rsid w:val="00FD6FA9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DBCD9"/>
  <w15:docId w15:val="{A65C2F28-A192-4389-86CE-53C10CC5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6D7C4C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6D7C4C"/>
    <w:rPr>
      <w:sz w:val="22"/>
      <w:szCs w:val="22"/>
      <w:lang w:eastAsia="en-US"/>
    </w:rPr>
  </w:style>
  <w:style w:type="character" w:styleId="afa">
    <w:name w:val="Unresolved Mention"/>
    <w:basedOn w:val="a0"/>
    <w:uiPriority w:val="99"/>
    <w:semiHidden/>
    <w:unhideWhenUsed/>
    <w:rsid w:val="00D64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da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.secretary@rogersgroup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drpharma@vsn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B1893-D1C7-4DC5-8BA3-3FDB93A4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8041</Words>
  <Characters>45840</Characters>
  <Application>Microsoft Office Word</Application>
  <DocSecurity>0</DocSecurity>
  <Lines>382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53774</CharactersWithSpaces>
  <SharedDoc>false</SharedDoc>
  <HLinks>
    <vt:vector size="12" baseType="variant">
      <vt:variant>
        <vt:i4>7667774</vt:i4>
      </vt:variant>
      <vt:variant>
        <vt:i4>3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10</cp:revision>
  <cp:lastPrinted>2019-11-18T06:17:00Z</cp:lastPrinted>
  <dcterms:created xsi:type="dcterms:W3CDTF">2021-09-07T05:30:00Z</dcterms:created>
  <dcterms:modified xsi:type="dcterms:W3CDTF">2025-06-10T09:21:00Z</dcterms:modified>
</cp:coreProperties>
</file>